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E14B4B"/>
          <w:sz w:val="22"/>
          <w:szCs w:val="22"/>
        </w:rPr>
        <w:t xml:space="preserve">WORK SAMPLE</w:t>
      </w:r>
    </w:p>
    <w:p>
      <w:pPr>
        <w:spacing w:after="120"/>
      </w:pPr>
      <w:r>
        <w:rPr>
          <w:b/>
          <w:bCs/>
          <w:color w:val="1B2A6B"/>
          <w:sz w:val="44"/>
          <w:szCs w:val="44"/>
        </w:rPr>
        <w:t xml:space="preserve">Pricing &amp; Commercialization Strategy</w:t>
      </w:r>
    </w:p>
    <w:p>
      <w:pPr>
        <w:spacing w:after="60"/>
      </w:pPr>
      <w:r>
        <w:rPr>
          <w:b/>
          <w:bCs/>
          <w:color w:val="1B2A6B"/>
          <w:sz w:val="32"/>
          <w:szCs w:val="32"/>
        </w:rPr>
        <w:t xml:space="preserve">for a Full-Service Digital Marketing Agency's Service Lines</w:t>
      </w:r>
    </w:p>
    <w:p>
      <w:pPr>
        <w:spacing w:after="300"/>
      </w:pPr>
      <w:r>
        <w:rPr>
          <w:i/>
          <w:iCs/>
          <w:color w:val="595959"/>
          <w:sz w:val="20"/>
          <w:szCs w:val="20"/>
        </w:rPr>
        <w:t xml:space="preserve">Standalone strategic exercise — a self-contained pricing framework</w:t>
      </w:r>
    </w:p>
    <w:p>
      <w:pPr>
        <w:pBdr>
          <w:top w:val="single" w:color="1B2A6B" w:sz="6" w:space="8"/>
        </w:pBdr>
        <w:spacing w:after="100"/>
      </w:pPr>
    </w:p>
    <w:p>
      <w:pPr>
        <w:spacing w:after="140"/>
      </w:pPr>
      <w:r>
        <w:rPr>
          <w:color w:val="333333"/>
          <w:sz w:val="21"/>
          <w:szCs w:val="21"/>
        </w:rPr>
        <w:t xml:space="preserve">This document stands on its own. It covers the menu of pricing models agencies actually use, what's changing about all of them right now because of AI, a decision framework for matching model to service line, a real-world example of where custom-SOW pricing creates margin leakage, how to reprice existing clients without losing them, and a phased sequence for rolling all of this out.</w:t>
      </w:r>
    </w:p>
    <w:p>
      <w:pPr>
        <w:pStyle w:val="Heading1"/>
        <w:pBdr>
          <w:bottom w:val="single" w:color="1B2A6B" w:sz="8" w:space="4"/>
        </w:pBdr>
        <w:spacing w:after="160" w:before="400"/>
      </w:pPr>
      <w:r>
        <w:rPr>
          <w:b/>
          <w:bCs/>
          <w:color w:val="1B2A6B"/>
          <w:sz w:val="30"/>
          <w:szCs w:val="30"/>
        </w:rPr>
        <w:t xml:space="preserve"/>
      </w:r>
      <w:r>
        <w:rPr>
          <w:b/>
          <w:bCs/>
          <w:color w:val="1B2A6B"/>
          <w:sz w:val="30"/>
          <w:szCs w:val="30"/>
        </w:rPr>
        <w:t xml:space="preserve">The Menu of Models</w:t>
      </w:r>
    </w:p>
    <w:p>
      <w:pPr>
        <w:spacing w:after="140"/>
      </w:pPr>
      <w:r>
        <w:rPr>
          <w:i/>
          <w:iCs/>
          <w:color w:val="595959"/>
          <w:sz w:val="21"/>
          <w:szCs w:val="21"/>
        </w:rPr>
        <w:t xml:space="preserve">Eight ways agencies get paid, and where each one actually fits.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50"/>
        <w:gridCol w:w="2650"/>
        <w:gridCol w:w="2650"/>
        <w:gridCol w:w="2550"/>
      </w:tblGrid>
      <w:tr>
        <w:trPr>
          <w:tblHeader/>
        </w:trPr>
        <w:tc>
          <w:tcPr>
            <w:tcW w:type="dxa" w:w="165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Model</w:t>
            </w:r>
          </w:p>
        </w:tc>
        <w:tc>
          <w:tcPr>
            <w:tcW w:type="dxa" w:w="265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Typical Range</w:t>
            </w:r>
          </w:p>
        </w:tc>
        <w:tc>
          <w:tcPr>
            <w:tcW w:type="dxa" w:w="265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Best Fit</w:t>
            </w:r>
          </w:p>
        </w:tc>
        <w:tc>
          <w:tcPr>
            <w:tcW w:type="dxa" w:w="255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Watch-Out</w:t>
            </w:r>
          </w:p>
        </w:tc>
      </w:tr>
      <w:tr>
        <w:tc>
          <w:tcPr>
            <w:tcW w:type="dxa" w:w="165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Hourly / T&amp;M</w:t>
            </w:r>
          </w:p>
        </w:tc>
        <w:tc>
          <w:tcPr>
            <w:tcW w:type="dxa" w:w="26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$100–$300/hr</w:t>
            </w:r>
          </w:p>
        </w:tc>
        <w:tc>
          <w:tcPr>
            <w:tcW w:type="dxa" w:w="26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Ambiguous, one-off, hard-to-scope work</w:t>
            </w:r>
          </w:p>
        </w:tc>
        <w:tc>
          <w:tcPr>
            <w:tcW w:type="dxa" w:w="25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Structurally punishes speed — AI makes this worse every quarter</w:t>
            </w:r>
          </w:p>
        </w:tc>
      </w:tr>
      <w:tr>
        <w:tc>
          <w:tcPr>
            <w:tcW w:type="dxa" w:w="165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Monthly retainer</w:t>
            </w:r>
          </w:p>
        </w:tc>
        <w:tc>
          <w:tcPr>
            <w:tcW w:type="dxa" w:w="26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$3,000–$25,000+/mo</w:t>
            </w:r>
          </w:p>
        </w:tc>
        <w:tc>
          <w:tcPr>
            <w:tcW w:type="dxa" w:w="26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Ongoing, hard-to-isolate work: SEO, brand, fractional CMO</w:t>
            </w:r>
          </w:p>
        </w:tc>
        <w:tc>
          <w:tcPr>
            <w:tcW w:type="dxa" w:w="25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Scope creep; full price paid even in slow months</w:t>
            </w:r>
          </w:p>
        </w:tc>
      </w:tr>
      <w:tr>
        <w:tc>
          <w:tcPr>
            <w:tcW w:type="dxa" w:w="165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Project / fixed fee</w:t>
            </w:r>
          </w:p>
        </w:tc>
        <w:tc>
          <w:tcPr>
            <w:tcW w:type="dxa" w:w="26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$5,000–$100,000+</w:t>
            </w:r>
          </w:p>
        </w:tc>
        <w:tc>
          <w:tcPr>
            <w:tcW w:type="dxa" w:w="26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One-time initiatives: rebrand, site rebuild, campaign launch</w:t>
            </w:r>
          </w:p>
        </w:tc>
        <w:tc>
          <w:tcPr>
            <w:tcW w:type="dxa" w:w="25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Change orders erode margin without a tight SOW — used by 72% of agencies per 4A's 2024 survey, despite low client satisfaction</w:t>
            </w:r>
          </w:p>
        </w:tc>
      </w:tr>
      <w:tr>
        <w:tc>
          <w:tcPr>
            <w:tcW w:type="dxa" w:w="165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% of ad spend</w:t>
            </w:r>
          </w:p>
        </w:tc>
        <w:tc>
          <w:tcPr>
            <w:tcW w:type="dxa" w:w="26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10–20% of spend</w:t>
            </w:r>
          </w:p>
        </w:tc>
        <w:tc>
          <w:tcPr>
            <w:tcW w:type="dxa" w:w="26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Paid media, e-commerce, SaaS lead gen with growing budgets</w:t>
            </w:r>
          </w:p>
        </w:tc>
        <w:tc>
          <w:tcPr>
            <w:tcW w:type="dxa" w:w="25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Clients suspect budget-increase recs are fee-driven, not results-driven</w:t>
            </w:r>
          </w:p>
        </w:tc>
      </w:tr>
      <w:tr>
        <w:tc>
          <w:tcPr>
            <w:tcW w:type="dxa" w:w="165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Performance / outcome</w:t>
            </w:r>
          </w:p>
        </w:tc>
        <w:tc>
          <w:tcPr>
            <w:tcW w:type="dxa" w:w="26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Base + bonus (revenue share, CPA, ROAS)</w:t>
            </w:r>
          </w:p>
        </w:tc>
        <w:tc>
          <w:tcPr>
            <w:tcW w:type="dxa" w:w="26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Clean-attribution e-commerce; trusting, long-term partnerships</w:t>
            </w:r>
          </w:p>
        </w:tc>
        <w:tc>
          <w:tcPr>
            <w:tcW w:type="dxa" w:w="25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Attribution disputes; agency funds client growth before earning</w:t>
            </w:r>
          </w:p>
        </w:tc>
      </w:tr>
      <w:tr>
        <w:tc>
          <w:tcPr>
            <w:tcW w:type="dxa" w:w="165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Value-based</w:t>
            </w:r>
          </w:p>
        </w:tc>
        <w:tc>
          <w:tcPr>
            <w:tcW w:type="dxa" w:w="26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Share of demonstrated pipeline/revenue</w:t>
            </w:r>
          </w:p>
        </w:tc>
        <w:tc>
          <w:tcPr>
            <w:tcW w:type="dxa" w:w="26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Mature (12+ mo) relationships with closed-loop attribution</w:t>
            </w:r>
          </w:p>
        </w:tc>
        <w:tc>
          <w:tcPr>
            <w:tcW w:type="dxa" w:w="25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Rare in practice — most agencies lack the attribution maturity</w:t>
            </w:r>
          </w:p>
        </w:tc>
      </w:tr>
      <w:tr>
        <w:tc>
          <w:tcPr>
            <w:tcW w:type="dxa" w:w="165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Productized / tiered</w:t>
            </w:r>
          </w:p>
        </w:tc>
        <w:tc>
          <w:tcPr>
            <w:tcW w:type="dxa" w:w="26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Fixed scope + price, sold like a subscription</w:t>
            </w:r>
          </w:p>
        </w:tc>
        <w:tc>
          <w:tcPr>
            <w:tcW w:type="dxa" w:w="26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High-repeatability work (design requests, reporting, email builds)</w:t>
            </w:r>
          </w:p>
        </w:tc>
        <w:tc>
          <w:tcPr>
            <w:tcW w:type="dxa" w:w="255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Only works with real standardization discipline behind it, or the margin gain evaporates</w:t>
            </w:r>
          </w:p>
        </w:tc>
      </w:tr>
      <w:tr>
        <w:tc>
          <w:tcPr>
            <w:tcW w:type="dxa" w:w="165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Hybrid (base + kicker)</w:t>
            </w:r>
          </w:p>
        </w:tc>
        <w:tc>
          <w:tcPr>
            <w:tcW w:type="dxa" w:w="26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e.g. “$8K base + $1K per 50K visitors above baseline”</w:t>
            </w:r>
          </w:p>
        </w:tc>
        <w:tc>
          <w:tcPr>
            <w:tcW w:type="dxa" w:w="26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Most relationships, especially as they mature</w:t>
            </w:r>
          </w:p>
        </w:tc>
        <w:tc>
          <w:tcPr>
            <w:tcW w:type="dxa" w:w="255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More complex to explain and administer than a single model</w:t>
            </w:r>
          </w:p>
        </w:tc>
      </w:tr>
    </w:tbl>
    <w:p>
      <w:pPr>
        <w:pStyle w:val="Heading1"/>
        <w:pBdr>
          <w:bottom w:val="single" w:color="E14B4B" w:sz="8" w:space="4"/>
        </w:pBdr>
        <w:spacing w:after="160" w:before="400"/>
      </w:pPr>
      <w:r>
        <w:rPr>
          <w:b/>
          <w:bCs/>
          <w:color w:val="E14B4B"/>
          <w:sz w:val="30"/>
          <w:szCs w:val="30"/>
        </w:rPr>
        <w:t xml:space="preserve"/>
      </w:r>
      <w:r>
        <w:rPr>
          <w:b/>
          <w:bCs/>
          <w:color w:val="1B2A6B"/>
          <w:sz w:val="30"/>
          <w:szCs w:val="30"/>
        </w:rPr>
        <w:t xml:space="preserve">What AI Is Actually Changing About This</w:t>
      </w:r>
    </w:p>
    <w:p>
      <w:pPr>
        <w:spacing w:after="140"/>
      </w:pPr>
      <w:r>
        <w:rPr>
          <w:color w:val="333333"/>
          <w:sz w:val="21"/>
          <w:szCs w:val="21"/>
        </w:rPr>
        <w:t xml:space="preserve">AI is compressing delivery time 3–4x on repeatable work — a direct structural threat to anything still billed hourly or by time-and-materials, because the same output now costs the agency a fraction as much to produce, and clients increasingly know it.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Roughly a third of agencies already report clients explicitly asking for an “AI discount” — the market is pricing this in whether or not an agency has decided how to respond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WPP, the industry's largest holding company, now draws 20–25% of net sales from performance-linked fees and has publicly committed to phasing out time-and-materials billing entirely — the shift is already happening at the top of the market, not just in theory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Average digital agency net margin sits around 13%. Agencies clearing 40–75% are disproportionately the ones that picked the right pricing model per service line, rather than using one model for everything</w:t>
      </w:r>
    </w:p>
    <w:p>
      <w:pPr>
        <w:spacing w:after="140"/>
      </w:pPr>
      <w:r>
        <w:rPr>
          <w:sz w:val="21"/>
          <w:szCs w:val="21"/>
        </w:rPr>
        <w:t xml:space="preserve">The strategic read: AI can compress an agency's margin (if clients successfully demand a discount proportional to the agency's speed gains) or expand it (if the agency moves to value/outcome pricing before being asked). Which one happens is a function of who repositions the pricing model first — the agency, or the client's procurement team.</w:t>
      </w:r>
    </w:p>
    <w:p>
      <w:pPr>
        <w:pStyle w:val="Heading1"/>
        <w:pBdr>
          <w:bottom w:val="single" w:color="2E9BE6" w:sz="8" w:space="4"/>
        </w:pBdr>
        <w:spacing w:after="160" w:before="400"/>
      </w:pPr>
      <w:r>
        <w:rPr>
          <w:b/>
          <w:bCs/>
          <w:color w:val="2E9BE6"/>
          <w:sz w:val="30"/>
          <w:szCs w:val="30"/>
        </w:rPr>
        <w:t xml:space="preserve"/>
      </w:r>
      <w:r>
        <w:rPr>
          <w:b/>
          <w:bCs/>
          <w:color w:val="1B2A6B"/>
          <w:sz w:val="30"/>
          <w:szCs w:val="30"/>
        </w:rPr>
        <w:t xml:space="preserve">The Decision Framework</w:t>
      </w:r>
    </w:p>
    <w:p>
      <w:pPr>
        <w:spacing w:after="140"/>
      </w:pPr>
      <w:r>
        <w:rPr>
          <w:i/>
          <w:iCs/>
          <w:color w:val="595959"/>
          <w:sz w:val="21"/>
          <w:szCs w:val="21"/>
        </w:rPr>
        <w:t xml:space="preserve">Plot each service on two axes — how standardized the delivery is, and how cleanly the outcome can be attributed — and the right pricing model falls out.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450"/>
        <w:gridCol w:w="3450"/>
      </w:tblGrid>
      <w:tr>
        <w:tc>
          <w:tcPr>
            <w:tcW w:type="dxa" w:w="26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/>
            </w:r>
          </w:p>
        </w:tc>
        <w:tc>
          <w:tcPr>
            <w:tcW w:type="dxa" w:w="345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Measurable outcome</w:t>
            </w:r>
          </w:p>
        </w:tc>
        <w:tc>
          <w:tcPr>
            <w:tcW w:type="dxa" w:w="345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Fuzzy outcome</w:t>
            </w:r>
          </w:p>
        </w:tc>
      </w:tr>
      <w:tr>
        <w:tc>
          <w:tcPr>
            <w:tcW w:type="dxa" w:w="26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High repeatability</w:t>
            </w:r>
          </w:p>
        </w:tc>
        <w:tc>
          <w:tcPr>
            <w:tcW w:type="dxa" w:w="3450"/>
            <w:shd w:fill="FFFFFF" w:color="auto" w:val="clear"/>
            <w:vAlign w:val="center"/>
          </w:tcPr>
          <w:p>
            <w:r>
              <w:rPr>
                <w:b/>
                <w:bCs/>
                <w:color w:val="222222"/>
                <w:sz w:val="18"/>
                <w:szCs w:val="18"/>
              </w:rPr>
              <w:t xml:space="preserve">Productized subscription</w:t>
            </w:r>
          </w:p>
        </w:tc>
        <w:tc>
          <w:tcPr>
            <w:tcW w:type="dxa" w:w="3450"/>
            <w:shd w:fill="FFFFFF" w:color="auto" w:val="clear"/>
            <w:vAlign w:val="center"/>
          </w:tcPr>
          <w:p>
            <w:r>
              <w:rPr>
                <w:b/>
                <w:bCs/>
                <w:color w:val="222222"/>
                <w:sz w:val="18"/>
                <w:szCs w:val="18"/>
              </w:rPr>
              <w:t xml:space="preserve">Flat fee</w:t>
            </w:r>
          </w:p>
        </w:tc>
      </w:tr>
      <w:tr>
        <w:tc>
          <w:tcPr>
            <w:tcW w:type="dxa" w:w="26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Low repeatability</w:t>
            </w:r>
          </w:p>
        </w:tc>
        <w:tc>
          <w:tcPr>
            <w:tcW w:type="dxa" w:w="3450"/>
            <w:shd w:fill="FFFFFF" w:color="auto" w:val="clear"/>
            <w:vAlign w:val="center"/>
          </w:tcPr>
          <w:p>
            <w:r>
              <w:rPr>
                <w:b/>
                <w:bCs/>
                <w:color w:val="222222"/>
                <w:sz w:val="18"/>
                <w:szCs w:val="18"/>
              </w:rPr>
              <w:t xml:space="preserve">Value-based</w:t>
            </w:r>
          </w:p>
        </w:tc>
        <w:tc>
          <w:tcPr>
            <w:tcW w:type="dxa" w:w="3450"/>
            <w:shd w:fill="FFFFFF" w:color="auto" w:val="clear"/>
            <w:vAlign w:val="center"/>
          </w:tcPr>
          <w:p>
            <w:r>
              <w:rPr>
                <w:b/>
                <w:bCs/>
                <w:color w:val="222222"/>
                <w:sz w:val="18"/>
                <w:szCs w:val="18"/>
              </w:rPr>
              <w:t xml:space="preserve">Hybrid retainer + kicker</w:t>
            </w:r>
          </w:p>
        </w:tc>
      </w:tr>
    </w:tbl>
    <w:p>
      <w:pPr>
        <w:spacing w:after="140"/>
      </w:pPr>
      <w:r>
        <w:rPr>
          <w:sz w:val="21"/>
          <w:szCs w:val="21"/>
        </w:rPr>
        <w:t xml:space="preserve">High repeatability and a measurable outcome point to a productized subscription. High repeatability with a fuzzier outcome points to a flat fee. Low repeatability with a measurable outcome points to value-based pricing. Low repeatability with a fuzzy outcome is where a hybrid retainer-plus-kicker still earns its complexity.</w:t>
      </w:r>
    </w:p>
    <w:p>
      <w:pPr>
        <w:pStyle w:val="Heading1"/>
        <w:pBdr>
          <w:bottom w:val="single" w:color="8BC34A" w:sz="8" w:space="4"/>
        </w:pBdr>
        <w:spacing w:after="160" w:before="400"/>
      </w:pPr>
      <w:r>
        <w:rPr>
          <w:b/>
          <w:bCs/>
          <w:color w:val="8BC34A"/>
          <w:sz w:val="30"/>
          <w:szCs w:val="30"/>
        </w:rPr>
        <w:t xml:space="preserve"/>
      </w:r>
      <w:r>
        <w:rPr>
          <w:b/>
          <w:bCs/>
          <w:color w:val="1B2A6B"/>
          <w:sz w:val="30"/>
          <w:szCs w:val="30"/>
        </w:rPr>
        <w:t xml:space="preserve">Mapped to Service Lines — a Sequence, Not a Single Switch</w:t>
      </w:r>
    </w:p>
    <w:p>
      <w:pPr>
        <w:spacing w:after="140"/>
      </w:pPr>
      <w:r>
        <w:rPr>
          <w:i/>
          <w:iCs/>
          <w:color w:val="595959"/>
          <w:sz w:val="21"/>
          <w:szCs w:val="21"/>
        </w:rPr>
        <w:t xml:space="preserve">The mistake to avoid: picking one model for everything. The framework above, applied line by line, gives a defensible order of operations.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500"/>
        <w:gridCol w:w="5800"/>
      </w:tblGrid>
      <w:tr>
        <w:trPr>
          <w:tblHeader/>
        </w:trPr>
        <w:tc>
          <w:tcPr>
            <w:tcW w:type="dxa" w:w="22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Service Line</w:t>
            </w:r>
          </w:p>
        </w:tc>
        <w:tc>
          <w:tcPr>
            <w:tcW w:type="dxa" w:w="15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Sequence</w:t>
            </w:r>
          </w:p>
        </w:tc>
        <w:tc>
          <w:tcPr>
            <w:tcW w:type="dxa" w:w="5800"/>
            <w:shd w:fill="1B2A6B" w:color="auto" w:val="clear"/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Why</w:t>
            </w:r>
          </w:p>
        </w:tc>
      </w:tr>
      <w:tr>
        <w:tc>
          <w:tcPr>
            <w:tcW w:type="dxa" w:w="22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Performance (paid search, social, Amazon ads)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/>
                <w:bCs/>
                <w:color w:val="1B7A3D"/>
                <w:sz w:val="18"/>
                <w:szCs w:val="18"/>
              </w:rPr>
              <w:t xml:space="preserve">Now</w:t>
            </w:r>
          </w:p>
        </w:tc>
        <w:tc>
          <w:tcPr>
            <w:tcW w:type="dxa" w:w="58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Highest repeatability, cleanest attribution of any line. Strongest candidate for performance-based or productized/tiered pricing.</w:t>
            </w:r>
          </w:p>
        </w:tc>
      </w:tr>
      <w:tr>
        <w:tc>
          <w:tcPr>
            <w:tcW w:type="dxa" w:w="22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Automation (email, CRM)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/>
                <w:bCs/>
                <w:color w:val="1B7A3D"/>
                <w:sz w:val="18"/>
                <w:szCs w:val="18"/>
              </w:rPr>
              <w:t xml:space="preserve">Now</w:t>
            </w:r>
          </w:p>
        </w:tc>
        <w:tc>
          <w:tcPr>
            <w:tcW w:type="dxa" w:w="58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Highly repeatable, decent measurability once journeys/platforms are standardized. Closer to a productized subscription than a bespoke retainer.</w:t>
            </w:r>
          </w:p>
        </w:tc>
      </w:tr>
      <w:tr>
        <w:tc>
          <w:tcPr>
            <w:tcW w:type="dxa" w:w="22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Insight (analytics, reporting)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/>
                <w:bCs/>
                <w:color w:val="B8860B"/>
                <w:sz w:val="18"/>
                <w:szCs w:val="18"/>
              </w:rPr>
              <w:t xml:space="preserve">Next</w:t>
            </w:r>
          </w:p>
        </w:tc>
        <w:tc>
          <w:tcPr>
            <w:tcW w:type="dxa" w:w="58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Natural fit to productize as a self-service or dashboard-as-a-product tier rather than billable hours.</w:t>
            </w:r>
          </w:p>
        </w:tc>
      </w:tr>
      <w:tr>
        <w:tc>
          <w:tcPr>
            <w:tcW w:type="dxa" w:w="22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SEO / local SEO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Later</w:t>
            </w:r>
          </w:p>
        </w:tc>
        <w:tc>
          <w:tcPr>
            <w:tcW w:type="dxa" w:w="58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Repeatable process, but outcomes lag months and attribution is muddier than paid. Better as flat-fee or hybrid retainer until enough historical data exists to price on outcome.</w:t>
            </w:r>
          </w:p>
        </w:tc>
      </w:tr>
      <w:tr>
        <w:tc>
          <w:tcPr>
            <w:tcW w:type="dxa" w:w="2200"/>
            <w:shd w:fill="FFFFFF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Creative / brand</w:t>
            </w:r>
          </w:p>
        </w:tc>
        <w:tc>
          <w:tcPr>
            <w:tcW w:type="dxa" w:w="1500"/>
            <w:shd w:fill="FFFFFF" w:color="auto" w:val="clear"/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Later</w:t>
            </w:r>
          </w:p>
        </w:tc>
        <w:tc>
          <w:tcPr>
            <w:tcW w:type="dxa" w:w="5800"/>
            <w:shd w:fill="FFFFFF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Least repeatable, most judgment-driven. Stays hybrid retainer for larger brand work; smaller standardizable deliverables (a landing page, an asset sprint) are candidates for a fixed-price package.</w:t>
            </w:r>
          </w:p>
        </w:tc>
      </w:tr>
      <w:tr>
        <w:tc>
          <w:tcPr>
            <w:tcW w:type="dxa" w:w="2200"/>
            <w:shd w:fill="F2F2F2" w:color="auto" w:val="clear"/>
            <w:vAlign w:val="center"/>
          </w:tcPr>
          <w:p>
            <w:r>
              <w:rPr>
                <w:b/>
                <w:bCs/>
                <w:color w:val="1B2A6B"/>
                <w:sz w:val="18"/>
                <w:szCs w:val="18"/>
              </w:rPr>
              <w:t xml:space="preserve">Fractional CMO</w:t>
            </w:r>
          </w:p>
        </w:tc>
        <w:tc>
          <w:tcPr>
            <w:tcW w:type="dxa" w:w="1500"/>
            <w:shd w:fill="F2F2F2" w:color="auto" w:val="clear"/>
            <w:vAlign w:val="center"/>
          </w:tcPr>
          <w:p>
            <w:r>
              <w:rPr>
                <w:b/>
                <w:bCs/>
                <w:color w:val="595959"/>
                <w:sz w:val="18"/>
                <w:szCs w:val="18"/>
              </w:rPr>
              <w:t xml:space="preserve">As-is</w:t>
            </w:r>
          </w:p>
        </w:tc>
        <w:tc>
          <w:tcPr>
            <w:tcW w:type="dxa" w:w="5800"/>
            <w:shd w:fill="F2F2F2" w:color="auto" w:val="clear"/>
            <w:vAlign w:val="center"/>
          </w:tcPr>
          <w:p>
            <w:r>
              <w:rPr>
                <w:b w:val="false"/>
                <w:bCs w:val="false"/>
                <w:color w:val="222222"/>
                <w:sz w:val="18"/>
                <w:szCs w:val="18"/>
              </w:rPr>
              <w:t xml:space="preserve">Advisory by nature — retainer or value-based, not productized. The value is judgment, not repeatable output.</w:t>
            </w:r>
          </w:p>
        </w:tc>
      </w:tr>
    </w:tbl>
    <w:p>
      <w:pPr>
        <w:pStyle w:val="Heading1"/>
        <w:pBdr>
          <w:bottom w:val="single" w:color="1B2A6B" w:sz="8" w:space="4"/>
        </w:pBdr>
        <w:spacing w:after="160" w:before="400"/>
      </w:pPr>
      <w:r>
        <w:rPr>
          <w:b/>
          <w:bCs/>
          <w:color w:val="1B2A6B"/>
          <w:sz w:val="30"/>
          <w:szCs w:val="30"/>
        </w:rPr>
        <w:t xml:space="preserve"/>
      </w:r>
      <w:r>
        <w:rPr>
          <w:b/>
          <w:bCs/>
          <w:color w:val="1B2A6B"/>
          <w:sz w:val="30"/>
          <w:szCs w:val="30"/>
        </w:rPr>
        <w:t xml:space="preserve">A Real-World Example: Custom-SOW Pricing Leakage</w:t>
      </w:r>
    </w:p>
    <w:p>
      <w:pPr>
        <w:pBdr>
          <w:left w:val="single" w:color="1B2A6B" w:sz="12" w:space="8"/>
        </w:pBdr>
        <w:shd w:fill="F2F2F2" w:color="auto" w:val="clear"/>
        <w:spacing w:after="240" w:before="100"/>
        <w:ind w:left="360"/>
      </w:pPr>
      <w:r>
        <w:rPr>
          <w:b/>
          <w:bCs/>
          <w:color w:val="1B2A6B"/>
          <w:sz w:val="21"/>
          <w:szCs w:val="21"/>
        </w:rPr>
        <w:t xml:space="preserve">SEO pricing — a real, publicly posted example:  </w:t>
      </w:r>
      <w:r>
        <w:rPr>
          <w:color w:val="222222"/>
          <w:sz w:val="21"/>
          <w:szCs w:val="21"/>
        </w:rPr>
        <w:t xml:space="preserve">One agency's own site advertises fully custom SEO packages, starting in the low thousands per month, with most engagements landing in the $3,000–$6,000/month range. That's a live, concrete example of a common margin-leakage and delivery-inconsistency problem: when every client sits on its own custom SOW, every one becomes its own cost-to-serve conversation rather than a repeatable, costed package.</w:t>
      </w:r>
    </w:p>
    <w:p>
      <w:pPr>
        <w:pBdr>
          <w:left w:val="single" w:color="1B2A6B" w:sz="12" w:space="8"/>
        </w:pBdr>
        <w:shd w:fill="F2F2F2" w:color="auto" w:val="clear"/>
        <w:spacing w:after="240" w:before="100"/>
        <w:ind w:left="360"/>
      </w:pPr>
      <w:r>
        <w:rPr>
          <w:b/>
          <w:bCs/>
          <w:color w:val="1B2A6B"/>
          <w:sz w:val="21"/>
          <w:szCs w:val="21"/>
        </w:rPr>
        <w:t xml:space="preserve">AI/LLM search visibility — a positioning gap, not a pricing one:  </w:t>
      </w:r>
      <w:r>
        <w:rPr>
          <w:color w:val="222222"/>
          <w:sz w:val="21"/>
          <w:szCs w:val="21"/>
        </w:rPr>
        <w:t xml:space="preserve">This kind of offering often already exists as a distinct, named service on an agency's site, but it's frequently delivered as soft-sell thought leadership — educational content ending in a generic call to action — rather than a priced tier. That's a fast, low-risk near-term win: productize what's already being given away as content marketing, rather than inventing a new offering from scratch.</w:t>
      </w:r>
    </w:p>
    <w:p>
      <w:pPr>
        <w:pStyle w:val="Heading1"/>
        <w:pBdr>
          <w:bottom w:val="single" w:color="E14B4B" w:sz="8" w:space="4"/>
        </w:pBdr>
        <w:spacing w:after="160" w:before="400"/>
      </w:pPr>
      <w:r>
        <w:rPr>
          <w:b/>
          <w:bCs/>
          <w:color w:val="E14B4B"/>
          <w:sz w:val="30"/>
          <w:szCs w:val="30"/>
        </w:rPr>
        <w:t xml:space="preserve"/>
      </w:r>
      <w:r>
        <w:rPr>
          <w:b/>
          <w:bCs/>
          <w:color w:val="1B2A6B"/>
          <w:sz w:val="30"/>
          <w:szCs w:val="30"/>
        </w:rPr>
        <w:t xml:space="preserve">Repricing Without Losing the Client</w:t>
      </w:r>
    </w:p>
    <w:p>
      <w:pPr>
        <w:spacing w:after="140"/>
      </w:pPr>
      <w:r>
        <w:rPr>
          <w:i/>
          <w:iCs/>
          <w:color w:val="595959"/>
          <w:sz w:val="21"/>
          <w:szCs w:val="21"/>
        </w:rPr>
        <w:t xml:space="preserve">The tactical playbook for repricing an existing client without losing the relationship — worked out in enough detail to be concrete when pushed past the philosophy to “okay, but how, exactly.”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Phase it:  </w:t>
      </w:r>
      <w:r>
        <w:rPr>
          <w:sz w:val="21"/>
          <w:szCs w:val="21"/>
        </w:rPr>
        <w:t xml:space="preserve">“+5% now, +5% in six months” type increases, rather than one jump — this single tactic is associated with 90%+ retention in practice, versus a flat one-time repricing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Grandfather with a real choice:  </w:t>
      </w:r>
      <w:r>
        <w:rPr>
          <w:sz w:val="21"/>
          <w:szCs w:val="21"/>
        </w:rPr>
        <w:t xml:space="preserve">give existing clients the option to keep their current rate at reduced scope, or move to the new rate for full scope — a choice preserves the relationship even when the number goes up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Bundle value in, don't just raise the number:  </w:t>
      </w:r>
      <w:r>
        <w:rPr>
          <w:sz w:val="21"/>
          <w:szCs w:val="21"/>
        </w:rPr>
        <w:t xml:space="preserve">pair the increase with something tangible — a bonus deliverable, an added strategy session, an upgraded reporting cadence — so the new price maps to something visibly new, not just inflation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Give real notice, and do it live:  </w:t>
      </w:r>
      <w:r>
        <w:rPr>
          <w:sz w:val="21"/>
          <w:szCs w:val="21"/>
        </w:rPr>
        <w:t xml:space="preserve">30–60 days' notice, delivered on a call, not a cold email — the relationship absorbs a hard conversation far better than a surprise one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Have a bridge ready before the pushback happens:  </w:t>
      </w:r>
      <w:r>
        <w:rPr>
          <w:sz w:val="21"/>
          <w:szCs w:val="21"/>
        </w:rPr>
        <w:t xml:space="preserve">phased implementation, reduced scope at the old rate, or added services to close the gap — decide the fallback menu before the call, not during it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/>
          <w:bCs/>
          <w:color w:val="1B2A6B"/>
          <w:sz w:val="21"/>
          <w:szCs w:val="21"/>
        </w:rPr>
        <w:t xml:space="preserve">Know the benchmark:  </w:t>
      </w:r>
      <w:r>
        <w:rPr>
          <w:sz w:val="21"/>
          <w:szCs w:val="21"/>
        </w:rPr>
        <w:t xml:space="preserve">8–15% annual increases are broadly normal and defensible; anything larger needs a scope change to justify it — the same repricing-and-repackaging lever used throughout this framework</w:t>
      </w:r>
    </w:p>
    <w:p>
      <w:pPr>
        <w:spacing w:after="140"/>
      </w:pPr>
      <w:r>
        <w:rPr>
          <w:sz w:val="21"/>
          <w:szCs w:val="21"/>
        </w:rPr>
        <w:t xml:space="preserve">Applied in practice: two large accounts threatening to churn over a reprice isn't a reason to reverse the decision — it's a reason to apply this exact playbook to those two accounts specifically, while holding the underlying repricing decision for the rest of the line.</w:t>
      </w:r>
    </w:p>
    <w:p>
      <w:pPr>
        <w:pStyle w:val="Heading1"/>
        <w:pBdr>
          <w:bottom w:val="single" w:color="2E9BE6" w:sz="8" w:space="4"/>
        </w:pBdr>
        <w:spacing w:after="160" w:before="400"/>
      </w:pPr>
      <w:r>
        <w:rPr>
          <w:b/>
          <w:bCs/>
          <w:color w:val="2E9BE6"/>
          <w:sz w:val="30"/>
          <w:szCs w:val="30"/>
        </w:rPr>
        <w:t xml:space="preserve"/>
      </w:r>
      <w:r>
        <w:rPr>
          <w:b/>
          <w:bCs/>
          <w:color w:val="1B2A6B"/>
          <w:sz w:val="30"/>
          <w:szCs w:val="30"/>
        </w:rPr>
        <w:t xml:space="preserve">A Phased Rollout — Now / Next / Later</w:t>
      </w:r>
    </w:p>
    <w:p>
      <w:pPr>
        <w:spacing w:after="60" w:before="80"/>
      </w:pPr>
      <w:r>
        <w:rPr>
          <w:b/>
          <w:bCs/>
          <w:color w:val="1B2A6B"/>
          <w:sz w:val="21"/>
          <w:szCs w:val="21"/>
        </w:rPr>
        <w:t xml:space="preserve">Now (first 90 days)</w:t>
      </w:r>
    </w:p>
    <w:p>
      <w:pPr>
        <w:spacing w:after="140"/>
      </w:pPr>
      <w:r>
        <w:rPr>
          <w:sz w:val="21"/>
          <w:szCs w:val="21"/>
        </w:rPr>
        <w:t xml:space="preserve">Pilot productized packaging on the highest-repeatability, most measurable slices of Performance and Automation — on 2–3 accounts, not the full book, so the standardization actually holds before it scales. This is the fastest, lowest-risk margin win, and it doesn't require touching a single existing client relationship that isn't already opted in.</w:t>
      </w:r>
    </w:p>
    <w:p>
      <w:pPr>
        <w:spacing w:after="60" w:before="80"/>
      </w:pPr>
      <w:r>
        <w:rPr>
          <w:b/>
          <w:bCs/>
          <w:color w:val="1B2A6B"/>
          <w:sz w:val="21"/>
          <w:szCs w:val="21"/>
        </w:rPr>
        <w:t xml:space="preserve">Next (90–180 days)</w:t>
      </w:r>
    </w:p>
    <w:p>
      <w:pPr>
        <w:spacing w:after="140"/>
      </w:pPr>
      <w:r>
        <w:rPr>
          <w:sz w:val="21"/>
          <w:szCs w:val="21"/>
        </w:rPr>
        <w:t xml:space="preserve">Turn Insight into a self-service or dashboard-as-a-product tier rather than a cost center buried inside other retainers. In parallel, begin the phased repricing conversations on legacy accounts where margin data justifies it, using the grandfathering and bundling tactics above — starting with relationships healthy enough to absorb a direct conversation well.</w:t>
      </w:r>
    </w:p>
    <w:p>
      <w:pPr>
        <w:spacing w:after="60" w:before="80"/>
      </w:pPr>
      <w:r>
        <w:rPr>
          <w:b/>
          <w:bCs/>
          <w:color w:val="1B2A6B"/>
          <w:sz w:val="21"/>
          <w:szCs w:val="21"/>
        </w:rPr>
        <w:t xml:space="preserve">Later (180+ days)</w:t>
      </w:r>
    </w:p>
    <w:p>
      <w:pPr>
        <w:spacing w:after="140"/>
      </w:pPr>
      <w:r>
        <w:rPr>
          <w:sz w:val="21"/>
          <w:szCs w:val="21"/>
        </w:rPr>
        <w:t xml:space="preserve">Revisit Creative and SEO pricing once enough delivery and outcome data exists to make a real case either way — and consider value-based pricing for the handful of accounts mature enough (12+ months, clean attribution) to support it. This is also the point at which an AI/LLM search-visibility offering should have graduated from blog content to a priced line item.</w:t>
      </w:r>
    </w:p>
    <w:p>
      <w:pPr>
        <w:pStyle w:val="Heading1"/>
        <w:pBdr>
          <w:bottom w:val="single" w:color="8BC34A" w:sz="8" w:space="4"/>
        </w:pBdr>
        <w:spacing w:after="160" w:before="400"/>
      </w:pPr>
      <w:r>
        <w:rPr>
          <w:b/>
          <w:bCs/>
          <w:color w:val="8BC34A"/>
          <w:sz w:val="30"/>
          <w:szCs w:val="30"/>
        </w:rPr>
        <w:t xml:space="preserve"/>
      </w:r>
      <w:r>
        <w:rPr>
          <w:b/>
          <w:bCs/>
          <w:color w:val="1B2A6B"/>
          <w:sz w:val="30"/>
          <w:szCs w:val="30"/>
        </w:rPr>
        <w:t xml:space="preserve">Applying This With Stakeholders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Open with what's real, not generic — ground the pitch in something actually true about the client's current pricing or public site, rather than a generic pricing lecture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Don't propose one model for the whole business — name the repeatability/measurability framework explicitly and show it applied line by line, which is the clearest signal of product-operations thinking versus generic marketing thinking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Name the AI-pricing tension directly — that AI can compress or expand margin depending on who repositions pricing first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If pushed on a churn-risk scenario, go straight to the repricing playbook above — phase it, grandfather it, bundle value, give real notice — rather than re-litigating whether to reprice at all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sz w:val="21"/>
          <w:szCs w:val="21"/>
        </w:rPr>
        <w:t xml:space="preserve">Close with the sequence, not just the framework: Now / Next / Later gives stakeholders something they could actually put on a roadmap, not just a philosophy</w:t>
      </w:r>
    </w:p>
    <w:p>
      <w:pPr>
        <w:spacing w:before="300"/>
      </w:pPr>
      <w:r>
        <w:rPr>
          <w:b/>
          <w:bCs/>
          <w:color w:val="1B2A6B"/>
          <w:sz w:val="18"/>
          <w:szCs w:val="18"/>
        </w:rPr>
        <w:t xml:space="preserve">Sources:  </w:t>
      </w:r>
      <w:r>
        <w:rPr>
          <w:color w:val="595959"/>
          <w:sz w:val="18"/>
          <w:szCs w:val="18"/>
        </w:rPr>
        <w:t xml:space="preserve">MarketerHire (marketerhire.com/blog/marketing-agency-pricing-models) · Assembly (assembly.com/blog/productized-services) · Digital Applied (digitalapplied.com/blog/ai-agency-pricing-models-2026-decision-guide) · DOJO AI (dojoai.com/blog/the-agency-pricing-model-battle) · SuccessKnocks (successknocks.com/how-to-increase-retainer-fees-without-losing-existing-clients).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2026-08-07T03:15:17.507Z</dcterms:created>
  <dcterms:modified xsi:type="dcterms:W3CDTF">2026-08-07T03:15:17.507Z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