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E14B4B"/>
          <w:sz w:val="22"/>
          <w:szCs w:val="22"/>
        </w:rPr>
        <w:t xml:space="preserve">WORK SAMPLE</w:t>
      </w:r>
    </w:p>
    <w:p>
      <w:pPr>
        <w:spacing w:after="120"/>
      </w:pPr>
      <w:r>
        <w:rPr>
          <w:b/>
          <w:bCs/>
          <w:color w:val="1B2A6B"/>
          <w:sz w:val="40"/>
          <w:szCs w:val="40"/>
        </w:rPr>
        <w:t xml:space="preserve">Product, Pricing &amp; Commercialization</w:t>
      </w:r>
    </w:p>
    <w:p>
      <w:pPr>
        <w:spacing w:after="60"/>
      </w:pPr>
      <w:r>
        <w:rPr>
          <w:color w:val="333333"/>
          <w:sz w:val="24"/>
          <w:szCs w:val="24"/>
        </w:rPr>
        <w:t xml:space="preserve">Case Study — Full-Service Digital Marketing Agency</w:t>
      </w:r>
    </w:p>
    <w:p>
      <w:pPr>
        <w:spacing w:after="300"/>
      </w:pPr>
      <w:r>
        <w:rPr>
          <w:i/>
          <w:iCs/>
          <w:color w:val="595959"/>
          <w:sz w:val="20"/>
          <w:szCs w:val="20"/>
        </w:rPr>
        <w:t xml:space="preserve">A framework for turning a multi-department services catalog into measurable revenue</w:t>
      </w:r>
    </w:p>
    <w:p>
      <w:pPr>
        <w:pBdr>
          <w:top w:val="single" w:color="1B2A6B" w:sz="6" w:space="8"/>
        </w:pBdr>
        <w:spacing w:after="100"/>
      </w:pPr>
    </w:p>
    <w:p>
      <w:pPr>
        <w:spacing w:after="140"/>
      </w:pPr>
      <w:r>
        <w:rPr>
          <w:color w:val="333333"/>
          <w:sz w:val="21"/>
          <w:szCs w:val="21"/>
        </w:rPr>
        <w:t xml:space="preserve">This is a framework I developed for a multi-department digital marketing agency, covering three connected pieces of commercial strategy: a product catalog model, a method for diagnosing and closing margin bleed, and a phased revenue plan that produces real dollar events in the first 90 days rather than waiting until year two.</w:t>
      </w:r>
    </w:p>
    <w:p>
      <w:pPr>
        <w:pStyle w:val="Heading1"/>
        <w:pBdr>
          <w:bottom w:val="single" w:color="1B2A6B" w:sz="8" w:space="4"/>
        </w:pBdr>
        <w:spacing w:after="160" w:before="400"/>
      </w:pPr>
      <w:r>
        <w:rPr>
          <w:b/>
          <w:bCs/>
          <w:color w:val="1B2A6B"/>
          <w:sz w:val="30"/>
          <w:szCs w:val="30"/>
        </w:rPr>
        <w:t xml:space="preserve">1  </w:t>
      </w:r>
      <w:r>
        <w:rPr>
          <w:b/>
          <w:bCs/>
          <w:color w:val="1B2A6B"/>
          <w:sz w:val="30"/>
          <w:szCs w:val="30"/>
        </w:rPr>
        <w:t xml:space="preserve">The Product Catalog Model</w:t>
      </w:r>
    </w:p>
    <w:p>
      <w:pPr>
        <w:spacing w:after="140"/>
      </w:pPr>
      <w:r>
        <w:rPr>
          <w:i/>
          <w:iCs/>
          <w:color w:val="333333"/>
          <w:sz w:val="21"/>
          <w:szCs w:val="21"/>
        </w:rPr>
        <w:t xml:space="preserve">What a “product” means here: a packaged, repeatable unit of client value with a defined scope, a known cost-to-serve, and a measurable outcome. Not a department — Performance, Creative, Automation, and Insight each contain several products. Not a single deliverable either — a landing page might be a component inside three different products, not a product on its own.</w:t>
      </w:r>
    </w:p>
    <w:p>
      <w:pPr>
        <w:pStyle w:val="Heading2"/>
        <w:spacing w:after="100" w:before="260"/>
      </w:pPr>
      <w:r>
        <w:rPr>
          <w:b/>
          <w:bCs/>
          <w:color w:val="2E9BE6"/>
          <w:sz w:val="24"/>
          <w:szCs w:val="24"/>
        </w:rPr>
        <w:t xml:space="preserve">A first pass at the catalog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900"/>
        <w:gridCol w:w="1500"/>
        <w:gridCol w:w="1500"/>
        <w:gridCol w:w="1700"/>
      </w:tblGrid>
      <w:tr>
        <w:trPr>
          <w:tblHeader/>
        </w:trPr>
        <w:tc>
          <w:tcPr>
            <w:tcW w:type="dxa" w:w="19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Family</w:t>
            </w:r>
          </w:p>
        </w:tc>
        <w:tc>
          <w:tcPr>
            <w:tcW w:type="dxa" w:w="29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Product</w:t>
            </w:r>
          </w:p>
        </w:tc>
        <w:tc>
          <w:tcPr>
            <w:tcW w:type="dxa" w:w="15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Repeatability</w:t>
            </w:r>
          </w:p>
        </w:tc>
        <w:tc>
          <w:tcPr>
            <w:tcW w:type="dxa" w:w="15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Measurability</w:t>
            </w:r>
          </w:p>
        </w:tc>
        <w:tc>
          <w:tcPr>
            <w:tcW w:type="dxa" w:w="17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Recommended Action</w:t>
            </w:r>
          </w:p>
        </w:tc>
      </w:tr>
      <w:tr>
        <w:tc>
          <w:tcPr>
            <w:tcW w:type="dxa" w:w="19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Performance</w:t>
            </w:r>
          </w:p>
        </w:tc>
        <w:tc>
          <w:tcPr>
            <w:tcW w:type="dxa" w:w="29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Paid Search / Paid Social / Amazon Ads Management</w:t>
            </w:r>
          </w:p>
        </w:tc>
        <w:tc>
          <w:tcPr>
            <w:tcW w:type="dxa" w:w="15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High</w:t>
            </w:r>
          </w:p>
        </w:tc>
        <w:tc>
          <w:tcPr>
            <w:tcW w:type="dxa" w:w="15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High</w:t>
            </w:r>
          </w:p>
        </w:tc>
        <w:tc>
          <w:tcPr>
            <w:tcW w:type="dxa" w:w="17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Scale — productize or performance-price</w:t>
            </w:r>
          </w:p>
        </w:tc>
      </w:tr>
      <w:tr>
        <w:tc>
          <w:tcPr>
            <w:tcW w:type="dxa" w:w="19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Performance</w:t>
            </w:r>
          </w:p>
        </w:tc>
        <w:tc>
          <w:tcPr>
            <w:tcW w:type="dxa" w:w="29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Local SEO / SEO</w:t>
            </w:r>
          </w:p>
        </w:tc>
        <w:tc>
          <w:tcPr>
            <w:tcW w:type="dxa" w:w="15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High</w:t>
            </w:r>
          </w:p>
        </w:tc>
        <w:tc>
          <w:tcPr>
            <w:tcW w:type="dxa" w:w="15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Med</w:t>
            </w:r>
          </w:p>
        </w:tc>
        <w:tc>
          <w:tcPr>
            <w:tcW w:type="dxa" w:w="17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Reprice / rebundle — flat fee or hybrid</w:t>
            </w:r>
          </w:p>
        </w:tc>
      </w:tr>
      <w:tr>
        <w:tc>
          <w:tcPr>
            <w:tcW w:type="dxa" w:w="19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Performance</w:t>
            </w:r>
          </w:p>
        </w:tc>
        <w:tc>
          <w:tcPr>
            <w:tcW w:type="dxa" w:w="29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Conversion Rate Optimization</w:t>
            </w:r>
          </w:p>
        </w:tc>
        <w:tc>
          <w:tcPr>
            <w:tcW w:type="dxa" w:w="15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Med</w:t>
            </w:r>
          </w:p>
        </w:tc>
        <w:tc>
          <w:tcPr>
            <w:tcW w:type="dxa" w:w="15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Med</w:t>
            </w:r>
          </w:p>
        </w:tc>
        <w:tc>
          <w:tcPr>
            <w:tcW w:type="dxa" w:w="17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Bundle into Performance engagements</w:t>
            </w:r>
          </w:p>
        </w:tc>
      </w:tr>
      <w:tr>
        <w:tc>
          <w:tcPr>
            <w:tcW w:type="dxa" w:w="19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Performance</w:t>
            </w:r>
          </w:p>
        </w:tc>
        <w:tc>
          <w:tcPr>
            <w:tcW w:type="dxa" w:w="29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Fractional CMO (advisory)</w:t>
            </w:r>
          </w:p>
        </w:tc>
        <w:tc>
          <w:tcPr>
            <w:tcW w:type="dxa" w:w="15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Low</w:t>
            </w:r>
          </w:p>
        </w:tc>
        <w:tc>
          <w:tcPr>
            <w:tcW w:type="dxa" w:w="15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Low</w:t>
            </w:r>
          </w:p>
        </w:tc>
        <w:tc>
          <w:tcPr>
            <w:tcW w:type="dxa" w:w="17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Retain as retainer / value-based, not productized</w:t>
            </w:r>
          </w:p>
        </w:tc>
      </w:tr>
      <w:tr>
        <w:tc>
          <w:tcPr>
            <w:tcW w:type="dxa" w:w="19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Creative</w:t>
            </w:r>
          </w:p>
        </w:tc>
        <w:tc>
          <w:tcPr>
            <w:tcW w:type="dxa" w:w="29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Brand Identity Development</w:t>
            </w:r>
          </w:p>
        </w:tc>
        <w:tc>
          <w:tcPr>
            <w:tcW w:type="dxa" w:w="15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Low</w:t>
            </w:r>
          </w:p>
        </w:tc>
        <w:tc>
          <w:tcPr>
            <w:tcW w:type="dxa" w:w="15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Low</w:t>
            </w:r>
          </w:p>
        </w:tc>
        <w:tc>
          <w:tcPr>
            <w:tcW w:type="dxa" w:w="17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Hybrid retainer for large work; fixed-price sprints for small</w:t>
            </w:r>
          </w:p>
        </w:tc>
      </w:tr>
      <w:tr>
        <w:tc>
          <w:tcPr>
            <w:tcW w:type="dxa" w:w="19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Automation</w:t>
            </w:r>
          </w:p>
        </w:tc>
        <w:tc>
          <w:tcPr>
            <w:tcW w:type="dxa" w:w="29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Email Marketing / CRM Management</w:t>
            </w:r>
          </w:p>
        </w:tc>
        <w:tc>
          <w:tcPr>
            <w:tcW w:type="dxa" w:w="15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High</w:t>
            </w:r>
          </w:p>
        </w:tc>
        <w:tc>
          <w:tcPr>
            <w:tcW w:type="dxa" w:w="15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Med-High</w:t>
            </w:r>
          </w:p>
        </w:tc>
        <w:tc>
          <w:tcPr>
            <w:tcW w:type="dxa" w:w="17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Scale — productize as subscription</w:t>
            </w:r>
          </w:p>
        </w:tc>
      </w:tr>
      <w:tr>
        <w:tc>
          <w:tcPr>
            <w:tcW w:type="dxa" w:w="19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Insight</w:t>
            </w:r>
          </w:p>
        </w:tc>
        <w:tc>
          <w:tcPr>
            <w:tcW w:type="dxa" w:w="29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Analytics &amp; Reporting</w:t>
            </w:r>
          </w:p>
        </w:tc>
        <w:tc>
          <w:tcPr>
            <w:tcW w:type="dxa" w:w="15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High</w:t>
            </w:r>
          </w:p>
        </w:tc>
        <w:tc>
          <w:tcPr>
            <w:tcW w:type="dxa" w:w="15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Med</w:t>
            </w:r>
          </w:p>
        </w:tc>
        <w:tc>
          <w:tcPr>
            <w:tcW w:type="dxa" w:w="17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Build — productize as self-serve dashboard</w:t>
            </w:r>
          </w:p>
        </w:tc>
      </w:tr>
      <w:tr>
        <w:tc>
          <w:tcPr>
            <w:tcW w:type="dxa" w:w="19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AI-Forward</w:t>
            </w:r>
          </w:p>
        </w:tc>
        <w:tc>
          <w:tcPr>
            <w:tcW w:type="dxa" w:w="29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AI / LLM Search Visibility</w:t>
            </w:r>
          </w:p>
        </w:tc>
        <w:tc>
          <w:tcPr>
            <w:tcW w:type="dxa" w:w="15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Med (new)</w:t>
            </w:r>
          </w:p>
        </w:tc>
        <w:tc>
          <w:tcPr>
            <w:tcW w:type="dxa" w:w="15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Low (new)</w:t>
            </w:r>
          </w:p>
        </w:tc>
        <w:tc>
          <w:tcPr>
            <w:tcW w:type="dxa" w:w="17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Build — convert from content to priced tier</w:t>
            </w:r>
          </w:p>
        </w:tc>
      </w:tr>
    </w:tbl>
    <w:p>
      <w:pPr>
        <w:pStyle w:val="Heading2"/>
        <w:spacing w:after="100" w:before="260"/>
      </w:pPr>
      <w:r>
        <w:rPr>
          <w:b/>
          <w:bCs/>
          <w:color w:val="2E9BE6"/>
          <w:sz w:val="24"/>
          <w:szCs w:val="24"/>
        </w:rPr>
        <w:t xml:space="preserve">The criteria that decide Scale, Reprice, Bundle, Retire, or Build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tblHeader/>
        </w:trPr>
        <w:tc>
          <w:tcPr>
            <w:tcW w:type="dxa" w:w="22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Decision</w:t>
            </w:r>
          </w:p>
        </w:tc>
        <w:tc>
          <w:tcPr>
            <w:tcW w:type="dxa" w:w="73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Criteria</w:t>
            </w:r>
          </w:p>
        </w:tc>
      </w:tr>
      <w:tr>
        <w:tc>
          <w:tcPr>
            <w:tcW w:type="dxa" w:w="22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Scale</w:t>
            </w:r>
          </w:p>
        </w:tc>
        <w:tc>
          <w:tcPr>
            <w:tcW w:type="dxa" w:w="73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High repeatability + high measurability + healthy margin. Invest further, sell harder, expand the team behind it.</w:t>
            </w:r>
          </w:p>
        </w:tc>
      </w:tr>
      <w:tr>
        <w:tc>
          <w:tcPr>
            <w:tcW w:type="dxa" w:w="22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Reprice / Rebundle</w:t>
            </w:r>
          </w:p>
        </w:tc>
        <w:tc>
          <w:tcPr>
            <w:tcW w:type="dxa" w:w="73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High repeatability but thin margin — the “find the bleed” trigger. Fix the packaging or the price before touching headcount or quality.</w:t>
            </w:r>
          </w:p>
        </w:tc>
      </w:tr>
      <w:tr>
        <w:tc>
          <w:tcPr>
            <w:tcW w:type="dxa" w:w="22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Bundle</w:t>
            </w:r>
          </w:p>
        </w:tc>
        <w:tc>
          <w:tcPr>
            <w:tcW w:type="dxa" w:w="73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Low strategic fit standalone, but valuable attached to a core product — sells better as an add-on than as its own line item.</w:t>
            </w:r>
          </w:p>
        </w:tc>
      </w:tr>
      <w:tr>
        <w:tc>
          <w:tcPr>
            <w:tcW w:type="dxa" w:w="22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Retire / Sunset</w:t>
            </w:r>
          </w:p>
        </w:tc>
        <w:tc>
          <w:tcPr>
            <w:tcW w:type="dxa" w:w="73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Low strategic fit, commodity, no viable margin path even after repricing or rebundling.</w:t>
            </w:r>
          </w:p>
        </w:tc>
      </w:tr>
      <w:tr>
        <w:tc>
          <w:tcPr>
            <w:tcW w:type="dxa" w:w="22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Build</w:t>
            </w:r>
          </w:p>
        </w:tc>
        <w:tc>
          <w:tcPr>
            <w:tcW w:type="dxa" w:w="73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New, differentiated, currently unpriced or under-piloted (e.g. AI-forward work) — the newest and smallest category, but the highest-leverage one to get right early.</w:t>
            </w:r>
          </w:p>
        </w:tc>
      </w:tr>
    </w:tbl>
    <w:p>
      <w:pPr>
        <w:pBdr>
          <w:left w:val="single" w:color="1B2A6B" w:sz="12" w:space="8"/>
        </w:pBdr>
        <w:shd w:fill="F2F2F2" w:color="auto" w:val="clear"/>
        <w:spacing w:after="240" w:before="100"/>
        <w:ind w:left="360"/>
      </w:pPr>
      <w:r>
        <w:rPr>
          <w:b/>
          <w:bCs/>
          <w:color w:val="1B2A6B"/>
          <w:sz w:val="21"/>
          <w:szCs w:val="21"/>
        </w:rPr>
        <w:t xml:space="preserve">How to apply this in practice:  </w:t>
      </w:r>
      <w:r>
        <w:rPr>
          <w:color w:val="222222"/>
          <w:sz w:val="21"/>
          <w:szCs w:val="21"/>
        </w:rPr>
        <w:t xml:space="preserve">Walk through one row end to end rather than the whole table in the abstract — automation/CRM email work is the cleanest example: high repeatability, decent measurability, a clear path to Scale via productization. Contrast it with SEO — high repeatability but medium measurability and a currently custom pricing model — to show the framework actually discriminates between products instead of treating every offering the same way.</w:t>
      </w:r>
    </w:p>
    <w:p>
      <w:pPr>
        <w:pStyle w:val="Heading1"/>
        <w:pBdr>
          <w:bottom w:val="single" w:color="E14B4B" w:sz="8" w:space="4"/>
        </w:pBdr>
        <w:spacing w:after="160" w:before="400"/>
      </w:pPr>
      <w:r>
        <w:rPr>
          <w:b/>
          <w:bCs/>
          <w:color w:val="E14B4B"/>
          <w:sz w:val="30"/>
          <w:szCs w:val="30"/>
        </w:rPr>
        <w:t xml:space="preserve">2  </w:t>
      </w:r>
      <w:r>
        <w:rPr>
          <w:b/>
          <w:bCs/>
          <w:color w:val="1B2A6B"/>
          <w:sz w:val="30"/>
          <w:szCs w:val="30"/>
        </w:rPr>
        <w:t xml:space="preserve">Finding the Bleed — the Method</w:t>
      </w:r>
    </w:p>
    <w:p>
      <w:pPr>
        <w:spacing w:after="140"/>
      </w:pPr>
      <w:r>
        <w:rPr>
          <w:i/>
          <w:iCs/>
          <w:color w:val="333333"/>
          <w:sz w:val="21"/>
          <w:szCs w:val="21"/>
        </w:rPr>
        <w:t xml:space="preserve">A repeatable, five-step method — a “systems over heroics” instinct applied to margin instead of process.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Step 1 — Map cost-to-serve at the account level:  </w:t>
      </w:r>
      <w:r>
        <w:rPr>
          <w:sz w:val="21"/>
          <w:szCs w:val="21"/>
        </w:rPr>
        <w:t xml:space="preserve">not the service-line average. Labor hours by task, tooling cost, scope-creep flags — the inputs already live in a Team Structure Snapshot, a Skills/Competency Matrix, and a Technology Stack Inventory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Step 2 — Rank accounts by realized margin:  </w:t>
      </w:r>
      <w:r>
        <w:rPr>
          <w:sz w:val="21"/>
          <w:szCs w:val="21"/>
        </w:rPr>
        <w:t xml:space="preserve">the bleed is almost never spread evenly across a whole line — it concentrates in a bottom quartile of accounts. Find those before proposing anything for the line as a whole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Step 3 — Diagnose the root cause on the worst accounts specifically:  </w:t>
      </w:r>
      <w:r>
        <w:rPr>
          <w:sz w:val="21"/>
          <w:szCs w:val="21"/>
        </w:rPr>
        <w:t xml:space="preserve">workflow (manual, repeatable work not yet tooled), staffing (role mix doesn't match account complexity), or pricing (scope has crept past what was originally priced) — in that order, since fixing the wrong one wastes the other two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Step 4 — Match the lever to the diagnosis:  </w:t>
      </w:r>
      <w:r>
        <w:rPr>
          <w:sz w:val="21"/>
          <w:szCs w:val="21"/>
        </w:rPr>
        <w:t xml:space="preserve">workflow issue → redesign/automate; staffing issue → rebalance the team; pricing issue → reprice or rebundle using a phased, grandfathered approach; no viable lever and low strategic fit → sunset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Step 5 — Pilot before generalizing:  </w:t>
      </w:r>
      <w:r>
        <w:rPr>
          <w:sz w:val="21"/>
          <w:szCs w:val="21"/>
        </w:rPr>
        <w:t xml:space="preserve">prove the lever closes the gap on 2–3 accounts before turning it into a policy for the entire service line</w:t>
      </w:r>
    </w:p>
    <w:p>
      <w:pPr>
        <w:pBdr>
          <w:left w:val="single" w:color="1B2A6B" w:sz="12" w:space="8"/>
        </w:pBdr>
        <w:shd w:fill="F2F2F2" w:color="auto" w:val="clear"/>
        <w:spacing w:after="240" w:before="100"/>
        <w:ind w:left="360"/>
      </w:pPr>
      <w:r>
        <w:rPr>
          <w:b/>
          <w:bCs/>
          <w:color w:val="1B2A6B"/>
          <w:sz w:val="21"/>
          <w:szCs w:val="21"/>
        </w:rPr>
        <w:t xml:space="preserve">Why this order matters:  </w:t>
      </w:r>
      <w:r>
        <w:rPr>
          <w:color w:val="222222"/>
          <w:sz w:val="21"/>
          <w:szCs w:val="21"/>
        </w:rPr>
        <w:t xml:space="preserve">Diagnosing before prescribing is the whole point — “redesign, rebundle, reprice, or sunset” isn't a menu you pick from on instinct, it's the output of steps 1–3. That's the difference between a method and a guess.</w:t>
      </w:r>
    </w:p>
    <w:p>
      <w:pPr>
        <w:pStyle w:val="Heading1"/>
        <w:pBdr>
          <w:bottom w:val="single" w:color="8BC34A" w:sz="8" w:space="4"/>
        </w:pBdr>
        <w:spacing w:after="160" w:before="400"/>
      </w:pPr>
      <w:r>
        <w:rPr>
          <w:b/>
          <w:bCs/>
          <w:color w:val="8BC34A"/>
          <w:sz w:val="30"/>
          <w:szCs w:val="30"/>
        </w:rPr>
        <w:t xml:space="preserve">3  </w:t>
      </w:r>
      <w:r>
        <w:rPr>
          <w:b/>
          <w:bCs/>
          <w:color w:val="1B2A6B"/>
          <w:sz w:val="30"/>
          <w:szCs w:val="30"/>
        </w:rPr>
        <w:t xml:space="preserve">Connecting the Model to Revenue — On a 90-Day Clock</w:t>
      </w:r>
    </w:p>
    <w:p>
      <w:pPr>
        <w:spacing w:after="140"/>
      </w:pPr>
      <w:r>
        <w:rPr>
          <w:color w:val="333333"/>
          <w:sz w:val="21"/>
          <w:szCs w:val="21"/>
        </w:rPr>
        <w:t xml:space="preserve">The pushback worth taking seriously: a phased path — stabilize and adopt in year one, financial targets in years two and three — is directionally right as a model (you don't productize the whole catalog on day one), but it should never be revenue-silent in year one. The corrected version doesn't abandon the phasing — it makes year one throw off real, small monetization events instead of just preparing for later ones.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Days 0–30:  </w:t>
      </w:r>
      <w:r>
        <w:rPr>
          <w:sz w:val="21"/>
          <w:szCs w:val="21"/>
        </w:rPr>
        <w:t xml:space="preserve">run the Find-the-Bleed pass (Topic 2) on the single thinnest-margin, highest-volume line. The account-level margin baseline it produces almost always surfaces one or two accounts underpriced enough to justify an immediate, defensible repricing conversation — using the phased-increase and grandfathering approach, not a blunt across-the-board hike. That is real revenue recovery inside 30 days, not a year-two event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Days 30–60:  </w:t>
      </w:r>
      <w:r>
        <w:rPr>
          <w:sz w:val="21"/>
          <w:szCs w:val="21"/>
        </w:rPr>
        <w:t xml:space="preserve">take the single highest-repeatability, most measurable product from the catalog — an automation email-build package, or a defined SEO tier — and ship it as an actual priced, productized SKU on 2–3 pilot accounts, new or renewing. This is the catalog model generating priced revenue, not existing as a slide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Days 60–90:  </w:t>
      </w:r>
      <w:r>
        <w:rPr>
          <w:sz w:val="21"/>
          <w:szCs w:val="21"/>
        </w:rPr>
        <w:t xml:space="preserve">convert an AI/LLM search-visibility offering from soft-sell content into an actual priced add-on tier, offered first to the accounts already engaging with that content. The market education is already sunk cost — this is close to free monetization</w:t>
      </w:r>
    </w:p>
    <w:p>
      <w:pPr>
        <w:spacing w:after="140"/>
      </w:pPr>
      <w:r>
        <w:rPr>
          <w:sz w:val="21"/>
          <w:szCs w:val="21"/>
        </w:rPr>
        <w:t xml:space="preserve">By day 90 there are three concrete, dollar-figure events — a repriced account or two, one piloted productized SKU, one converted AI-tier sale — to bring into year-two planning as proof, instead of a promise. That is the pressure-tested version of the same phased plan: year one is stabilize and monetize in parallel, years two and three are where the piloted model scales across the full catalog to hit the full financial targets.</w:t>
      </w:r>
    </w:p>
    <w:p>
      <w:pPr>
        <w:pStyle w:val="Heading1"/>
        <w:pBdr>
          <w:bottom w:val="single" w:color="2E9BE6" w:sz="8" w:space="4"/>
        </w:pBdr>
        <w:spacing w:after="160" w:before="400"/>
      </w:pPr>
      <w:r>
        <w:rPr>
          <w:b/>
          <w:bCs/>
          <w:color w:val="2E9BE6"/>
          <w:sz w:val="30"/>
          <w:szCs w:val="30"/>
        </w:rPr>
        <w:t xml:space="preserve">4  </w:t>
      </w:r>
      <w:r>
        <w:rPr>
          <w:b/>
          <w:bCs/>
          <w:color w:val="1B2A6B"/>
          <w:sz w:val="30"/>
          <w:szCs w:val="30"/>
        </w:rPr>
        <w:t xml:space="preserve">Positioning and Market Placement</w:t>
      </w:r>
    </w:p>
    <w:p>
      <w:pPr>
        <w:spacing w:after="140"/>
      </w:pPr>
      <w:r>
        <w:rPr>
          <w:color w:val="333333"/>
          <w:sz w:val="21"/>
          <w:szCs w:val="21"/>
        </w:rPr>
        <w:t xml:space="preserve">The strategic choice every agency makes, whether deliberately or not: full-service versus niche specialist. Full-service agencies command higher, stickier retainers through integrated cross-channel ownership, but risk reading as generic. Niche specialists command precise, project-based pricing but risk commoditization and fragmenting a client's spend across vendors. The 2026 read on this tension is a hybrid: full-service ownership for brand consistency and cross-channel alignment, paired with a specialist-level wedge in one AI-forward capability as the differentiator.</w:t>
      </w:r>
    </w:p>
    <w:p>
      <w:pPr>
        <w:pBdr>
          <w:left w:val="single" w:color="1B2A6B" w:sz="12" w:space="8"/>
        </w:pBdr>
        <w:shd w:fill="F2F2F2" w:color="auto" w:val="clear"/>
        <w:spacing w:after="240" w:before="100"/>
        <w:ind w:left="360"/>
      </w:pPr>
      <w:r>
        <w:rPr>
          <w:b/>
          <w:bCs/>
          <w:color w:val="1B2A6B"/>
          <w:sz w:val="21"/>
          <w:szCs w:val="21"/>
        </w:rPr>
        <w:t xml:space="preserve">Where the agency already sits:  </w:t>
      </w:r>
      <w:r>
        <w:rPr>
          <w:color w:val="222222"/>
          <w:sz w:val="21"/>
          <w:szCs w:val="21"/>
        </w:rPr>
        <w:t xml:space="preserve">The agency is already positioned, in its own words, as a “full-service digital growth partner” across several integrated departments serving a large roster of client brands — that is the more defensible position for pricing power and retention, and it's already true today, not a change to propose. The gap is that it has already started building the specialist-level AI wedge the hybrid strategy calls for — an AI/LLM search-visibility service — without positioning or pricing discipline behind it yet.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21"/>
          <w:szCs w:val="21"/>
        </w:rPr>
        <w:t xml:space="preserve">Recommendation: position explicitly as “full-service digital growth, with an AI-forward specialist edge” — lead marketing and sales conversations with the AI-forward differentiator, since it's rare among full-service competitors, while continuing to sell the integration value underneath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21"/>
          <w:szCs w:val="21"/>
        </w:rPr>
        <w:t xml:space="preserve">Lead with / bundle: put the AI-forward wedge and the Insight dashboard product at the front of the story; bundle Creative and CRO into Performance engagements as retention add-ons rather than selling them standalone, where they read as commodity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21"/>
          <w:szCs w:val="21"/>
        </w:rPr>
        <w:t xml:space="preserve">Build next: an “AI Readiness / Opportunity Assessment” as a new lead-generation product — a direct, credible bridge from personally evaluating Agentforce, Prompt Builder, and Data Cloud readiness at Versant to something the agency could sell as the front door to its AI-forward positioning</w:t>
      </w:r>
    </w:p>
    <w:p>
      <w:pPr>
        <w:pStyle w:val="Heading1"/>
        <w:pBdr>
          <w:bottom w:val="single" w:color="E14B4B" w:sz="8" w:space="4"/>
        </w:pBdr>
        <w:spacing w:after="160" w:before="400"/>
      </w:pPr>
      <w:r>
        <w:rPr>
          <w:b/>
          <w:bCs/>
          <w:color w:val="E14B4B"/>
          <w:sz w:val="30"/>
          <w:szCs w:val="30"/>
        </w:rPr>
        <w:t xml:space="preserve">5  </w:t>
      </w:r>
      <w:r>
        <w:rPr>
          <w:b/>
          <w:bCs/>
          <w:color w:val="1B2A6B"/>
          <w:sz w:val="30"/>
          <w:szCs w:val="30"/>
        </w:rPr>
        <w:t xml:space="preserve">From Structure to Money</w:t>
      </w:r>
    </w:p>
    <w:p>
      <w:pPr>
        <w:spacing w:after="140"/>
      </w:pPr>
      <w:r>
        <w:rPr>
          <w:color w:val="333333"/>
          <w:sz w:val="21"/>
          <w:szCs w:val="21"/>
        </w:rPr>
        <w:t xml:space="preserve">Planning cadence is not a parallel process to the product model — it's the rhythm that decides, every quarter, which catalog products get built, repriced, or retired next. Without it, the catalog is a document; with it, the catalog is a system.</w:t>
      </w:r>
    </w:p>
    <w:p>
      <w:pPr>
        <w:spacing w:after="140"/>
      </w:pPr>
      <w:r>
        <w:rPr>
          <w:sz w:val="21"/>
          <w:szCs w:val="21"/>
        </w:rPr>
        <w:t xml:space="preserve">Unifying the departments is the precondition for Find the Bleed to be possible at all. Margin bleed lives at the seams — between delivery, data, and tooling — and if departments don't share a cost model and a cadence, no one can see the bleed, let alone act on it.</w:t>
      </w:r>
    </w:p>
    <w:p>
      <w:pPr>
        <w:spacing w:after="140"/>
      </w:pPr>
      <w:r>
        <w:rPr>
          <w:sz w:val="21"/>
          <w:szCs w:val="21"/>
        </w:rPr>
        <w:t xml:space="preserve">A legacy tool and tech-stack audit is literally half of the cost-to-serve equation in Step 1 of Find the Bleed — there's no way to know whether a margin problem is workflow or tooling without first knowing what's actually running underneath a service line today.</w:t>
      </w:r>
    </w:p>
    <w:p>
      <w:pPr>
        <w:pBdr>
          <w:left w:val="single" w:color="1B2A6B" w:sz="12" w:space="8"/>
        </w:pBdr>
        <w:shd w:fill="F2F2F2" w:color="auto" w:val="clear"/>
        <w:spacing w:after="240" w:before="100"/>
        <w:ind w:left="360"/>
      </w:pPr>
      <w:r>
        <w:rPr>
          <w:b/>
          <w:bCs/>
          <w:color w:val="1B2A6B"/>
          <w:sz w:val="21"/>
          <w:szCs w:val="21"/>
        </w:rPr>
        <w:t xml:space="preserve">The one-sentence version:  </w:t>
      </w:r>
      <w:r>
        <w:rPr>
          <w:color w:val="222222"/>
          <w:sz w:val="21"/>
          <w:szCs w:val="21"/>
        </w:rPr>
        <w:t xml:space="preserve">Underlying structural work isn't a prerequisite to finish before starting on product and pricing — it's the operating system the product model runs on: planning cadence sets the rhythm, department alignment creates the visibility, and a tech-stack audit supplies the cost data, and all three feed directly into every decision in the catalog and the bleed method above.</w:t>
      </w:r>
    </w:p>
    <w:p>
      <w:pPr>
        <w:pStyle w:val="Heading1"/>
        <w:pBdr>
          <w:bottom w:val="single" w:color="8BC34A" w:sz="8" w:space="4"/>
        </w:pBdr>
        <w:spacing w:after="160" w:before="400"/>
      </w:pPr>
      <w:r>
        <w:rPr>
          <w:b/>
          <w:bCs/>
          <w:color w:val="8BC34A"/>
          <w:sz w:val="30"/>
          <w:szCs w:val="30"/>
        </w:rPr>
        <w:t xml:space="preserve"/>
      </w:r>
      <w:r>
        <w:rPr>
          <w:b/>
          <w:bCs/>
          <w:color w:val="1B2A6B"/>
          <w:sz w:val="30"/>
          <w:szCs w:val="30"/>
        </w:rPr>
        <w:t xml:space="preserve">Summary at a Glance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900"/>
      </w:tblGrid>
      <w:tr>
        <w:trPr>
          <w:tblHeader/>
        </w:trPr>
        <w:tc>
          <w:tcPr>
            <w:tcW w:type="dxa" w:w="26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Scenario</w:t>
            </w:r>
          </w:p>
        </w:tc>
        <w:tc>
          <w:tcPr>
            <w:tcW w:type="dxa" w:w="69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Summary</w:t>
            </w:r>
          </w:p>
        </w:tc>
      </w:tr>
      <w:tr>
        <w:tc>
          <w:tcPr>
            <w:tcW w:type="dxa" w:w="26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Modeling the catalog</w:t>
            </w:r>
          </w:p>
        </w:tc>
        <w:tc>
          <w:tcPr>
            <w:tcW w:type="dxa" w:w="69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A product = a packaged, repeatable unit of client value with defined scope, known cost-to-serve, and a measurable outcome — not a department, not a single deliverable. Group into families, then apply the Scale/Reprice/Bundle/Retire/Build criteria to each.</w:t>
            </w:r>
          </w:p>
        </w:tc>
      </w:tr>
      <w:tr>
        <w:tc>
          <w:tcPr>
            <w:tcW w:type="dxa" w:w="26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Finding the bleed</w:t>
            </w:r>
          </w:p>
        </w:tc>
        <w:tc>
          <w:tcPr>
            <w:tcW w:type="dxa" w:w="69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5 steps: cost-to-serve by account → rank accounts by realized margin → diagnose workflow vs. staffing vs. pricing on the worst ones → match the lever to the diagnosis → pilot on 2–3 accounts before rolling out.</w:t>
            </w:r>
          </w:p>
        </w:tc>
      </w:tr>
      <w:tr>
        <w:tc>
          <w:tcPr>
            <w:tcW w:type="dxa" w:w="26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Monetization on a real clock</w:t>
            </w:r>
          </w:p>
        </w:tc>
        <w:tc>
          <w:tcPr>
            <w:tcW w:type="dxa" w:w="69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Day 0–30: bleed audit on the thinnest line surfaces 1–2 accounts to reprice now. Day 30–60: pilot one productized SKU on 2–3 accounts. Day 60–90: convert an AI/LLM search-visibility offering from content to a priced tier. Three real dollar events inside Q1, not a Year 2 promise.</w:t>
            </w:r>
          </w:p>
        </w:tc>
      </w:tr>
    </w:tbl>
    <w:p>
      <w:pPr>
        <w:spacing w:before="300"/>
      </w:pPr>
      <w:r>
        <w:rPr>
          <w:b/>
          <w:bCs/>
          <w:color w:val="1B2A6B"/>
          <w:sz w:val="18"/>
          <w:szCs w:val="18"/>
        </w:rPr>
        <w:t xml:space="preserve">Sources:  </w:t>
      </w:r>
      <w:r>
        <w:rPr>
          <w:color w:val="595959"/>
          <w:sz w:val="18"/>
          <w:szCs w:val="18"/>
        </w:rPr>
        <w:t xml:space="preserve">Splurge Media (splurgemedia.com/full-service-agency-vs-niche-specialist-which-strategy-works-best-for-2026), plus supporting analysis developed as part of this work sample.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2026-08-11T15:15:04.983Z</dcterms:created>
  <dcterms:modified xsi:type="dcterms:W3CDTF">2026-08-11T15:15:04.996Z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