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91BF39" w14:textId="77777777" w:rsidR="0055376F" w:rsidRDefault="00000000">
      <w:pPr>
        <w:spacing w:after="40"/>
      </w:pPr>
      <w:r>
        <w:rPr>
          <w:b/>
          <w:bCs/>
          <w:color w:val="E14B4B"/>
          <w:sz w:val="22"/>
          <w:szCs w:val="22"/>
        </w:rPr>
        <w:t>WORK SAMPLE</w:t>
      </w:r>
    </w:p>
    <w:p w14:paraId="3061C380" w14:textId="77777777" w:rsidR="0055376F" w:rsidRDefault="00000000">
      <w:pPr>
        <w:spacing w:after="120"/>
      </w:pPr>
      <w:r>
        <w:rPr>
          <w:b/>
          <w:bCs/>
          <w:color w:val="1B2A6B"/>
          <w:sz w:val="44"/>
          <w:szCs w:val="44"/>
        </w:rPr>
        <w:t>Product Operations, Technology &amp; AI Transformation</w:t>
      </w:r>
    </w:p>
    <w:p w14:paraId="3195DE84" w14:textId="77777777" w:rsidR="0055376F" w:rsidRDefault="00000000">
      <w:pPr>
        <w:spacing w:after="60"/>
      </w:pPr>
      <w:r>
        <w:rPr>
          <w:b/>
          <w:bCs/>
          <w:color w:val="1B2A6B"/>
          <w:sz w:val="32"/>
          <w:szCs w:val="32"/>
        </w:rPr>
        <w:t>Case Study — Full-Service Digital Marketing Agency</w:t>
      </w:r>
    </w:p>
    <w:p w14:paraId="5D863FB3" w14:textId="77777777" w:rsidR="0055376F" w:rsidRDefault="00000000">
      <w:pPr>
        <w:spacing w:after="300"/>
      </w:pPr>
      <w:r>
        <w:rPr>
          <w:i/>
          <w:iCs/>
          <w:color w:val="595959"/>
        </w:rPr>
        <w:t>Leading product operations, technology decisions, and AI transformation across a multi-department agency</w:t>
      </w:r>
    </w:p>
    <w:p w14:paraId="02469664" w14:textId="77777777" w:rsidR="0055376F" w:rsidRDefault="0055376F">
      <w:pPr>
        <w:pBdr>
          <w:top w:val="single" w:sz="6" w:space="8" w:color="1B2A6B"/>
        </w:pBdr>
        <w:spacing w:after="100"/>
      </w:pPr>
    </w:p>
    <w:p w14:paraId="69041E11" w14:textId="77777777" w:rsidR="0055376F" w:rsidRDefault="00000000">
      <w:pPr>
        <w:spacing w:after="140"/>
      </w:pPr>
      <w:r>
        <w:rPr>
          <w:color w:val="333333"/>
          <w:sz w:val="21"/>
          <w:szCs w:val="21"/>
        </w:rPr>
        <w:t xml:space="preserve">A framework for leading product operations, technology decisions, and AI transformation inside a multi-department digital marketing agency: how to direct engineering without building everything yourself, install structure that survives without being enforced, commercialize service lines on real unit economics, and align department leaders with no formal authority over them. Each principle below is paired with how it has </w:t>
      </w:r>
      <w:proofErr w:type="gramStart"/>
      <w:r>
        <w:rPr>
          <w:color w:val="333333"/>
          <w:sz w:val="21"/>
          <w:szCs w:val="21"/>
        </w:rPr>
        <w:t>actually played</w:t>
      </w:r>
      <w:proofErr w:type="gramEnd"/>
      <w:r>
        <w:rPr>
          <w:color w:val="333333"/>
          <w:sz w:val="21"/>
          <w:szCs w:val="21"/>
        </w:rPr>
        <w:t xml:space="preserve"> out across my career.</w:t>
      </w:r>
    </w:p>
    <w:p w14:paraId="5E0264AB" w14:textId="77777777" w:rsidR="0055376F" w:rsidRDefault="00000000">
      <w:pPr>
        <w:pStyle w:val="Heading2"/>
        <w:spacing w:before="260" w:after="100"/>
      </w:pPr>
      <w:r>
        <w:rPr>
          <w:b/>
          <w:bCs/>
          <w:color w:val="8BC34A"/>
          <w:sz w:val="24"/>
          <w:szCs w:val="24"/>
        </w:rPr>
        <w:t>The Organization</w:t>
      </w:r>
    </w:p>
    <w:p w14:paraId="1CDCD395" w14:textId="77777777" w:rsidR="0055376F" w:rsidRDefault="00000000">
      <w:pPr>
        <w:spacing w:after="140"/>
      </w:pPr>
      <w:r>
        <w:rPr>
          <w:sz w:val="21"/>
          <w:szCs w:val="21"/>
        </w:rPr>
        <w:t>A full-service digital growth agency serving a large roster of client brands, organized into four teams: Performance (paid search, paid social, Amazon advertising, SEO, local SEO, fractional CMO, CRO), Creative (brand and creative services), Automation (email marketing and CRM), and Insight (analytics and reporting). The operating mandate: fix margin leakage, delivery inconsistencies, and root-cause operational problems through systems design rather than short-term workarounds, while staying adaptable to evolving technology, market conditions, and client needs.</w:t>
      </w:r>
    </w:p>
    <w:p w14:paraId="5EADBE57" w14:textId="77777777" w:rsidR="0055376F" w:rsidRDefault="00000000">
      <w:pPr>
        <w:pStyle w:val="Heading2"/>
        <w:spacing w:before="260" w:after="100"/>
      </w:pPr>
      <w:r>
        <w:rPr>
          <w:b/>
          <w:bCs/>
          <w:color w:val="8BC34A"/>
          <w:sz w:val="24"/>
          <w:szCs w:val="24"/>
        </w:rPr>
        <w:t>The Throughline</w:t>
      </w:r>
    </w:p>
    <w:p w14:paraId="4A6BE6D2" w14:textId="77777777" w:rsidR="0055376F" w:rsidRDefault="00000000">
      <w:pPr>
        <w:spacing w:after="140"/>
      </w:pPr>
      <w:r>
        <w:rPr>
          <w:sz w:val="21"/>
          <w:szCs w:val="21"/>
        </w:rPr>
        <w:t xml:space="preserve">Every principle </w:t>
      </w:r>
      <w:proofErr w:type="gramStart"/>
      <w:r>
        <w:rPr>
          <w:sz w:val="21"/>
          <w:szCs w:val="21"/>
        </w:rPr>
        <w:t>here is</w:t>
      </w:r>
      <w:proofErr w:type="gramEnd"/>
      <w:r>
        <w:rPr>
          <w:sz w:val="21"/>
          <w:szCs w:val="21"/>
        </w:rPr>
        <w:t xml:space="preserve"> really </w:t>
      </w:r>
      <w:proofErr w:type="gramStart"/>
      <w:r>
        <w:rPr>
          <w:sz w:val="21"/>
          <w:szCs w:val="21"/>
        </w:rPr>
        <w:t>answering</w:t>
      </w:r>
      <w:proofErr w:type="gramEnd"/>
      <w:r>
        <w:rPr>
          <w:sz w:val="21"/>
          <w:szCs w:val="21"/>
        </w:rPr>
        <w:t xml:space="preserve"> one question: can a vision turn into something that keeps running without someone standing over it? Not “what would you build,” but “what structure, cadence, or system would still be operating in month thirteen.” The operating philosophy is systems over </w:t>
      </w:r>
      <w:proofErr w:type="gramStart"/>
      <w:r>
        <w:rPr>
          <w:sz w:val="21"/>
          <w:szCs w:val="21"/>
        </w:rPr>
        <w:t>heroics, and</w:t>
      </w:r>
      <w:proofErr w:type="gramEnd"/>
      <w:r>
        <w:rPr>
          <w:sz w:val="21"/>
          <w:szCs w:val="21"/>
        </w:rPr>
        <w:t xml:space="preserve"> knowing where to trade speed for buy-in, and where to hold a line even when it's unpopular.</w:t>
      </w:r>
    </w:p>
    <w:p w14:paraId="2882F09D" w14:textId="77777777" w:rsidR="0055376F" w:rsidRDefault="00000000">
      <w:pPr>
        <w:pStyle w:val="Heading1"/>
        <w:pBdr>
          <w:bottom w:val="single" w:sz="8" w:space="4" w:color="1B2A6B"/>
        </w:pBdr>
        <w:spacing w:before="400" w:after="160"/>
      </w:pPr>
      <w:proofErr w:type="gramStart"/>
      <w:r>
        <w:rPr>
          <w:b/>
          <w:bCs/>
          <w:color w:val="1B2A6B"/>
          <w:sz w:val="30"/>
          <w:szCs w:val="30"/>
        </w:rPr>
        <w:t>1  Orchestrating</w:t>
      </w:r>
      <w:proofErr w:type="gramEnd"/>
      <w:r>
        <w:rPr>
          <w:b/>
          <w:bCs/>
          <w:color w:val="1B2A6B"/>
          <w:sz w:val="30"/>
          <w:szCs w:val="30"/>
        </w:rPr>
        <w:t xml:space="preserve"> Builders vs. Building It Yourself</w:t>
      </w:r>
    </w:p>
    <w:p w14:paraId="42558735" w14:textId="77777777" w:rsidR="0055376F" w:rsidRDefault="00000000">
      <w:pPr>
        <w:spacing w:after="140"/>
      </w:pPr>
      <w:r>
        <w:rPr>
          <w:sz w:val="21"/>
          <w:szCs w:val="21"/>
        </w:rPr>
        <w:t>The shift in one line: the product is no longer the code — it's the coherence of what a team of builders creates together.</w:t>
      </w:r>
    </w:p>
    <w:p w14:paraId="6630E3BA" w14:textId="77777777" w:rsidR="0055376F" w:rsidRDefault="00000000">
      <w:pPr>
        <w:pStyle w:val="ListParagraph"/>
        <w:numPr>
          <w:ilvl w:val="0"/>
          <w:numId w:val="2"/>
        </w:numPr>
        <w:spacing w:after="100"/>
      </w:pPr>
      <w:r>
        <w:rPr>
          <w:sz w:val="21"/>
          <w:szCs w:val="21"/>
        </w:rPr>
        <w:t>Author or tightly review the spec/architecture decision before work starts, the highest-leverage slice of technical decisions, not all of them</w:t>
      </w:r>
    </w:p>
    <w:p w14:paraId="7C9D50DA" w14:textId="77777777" w:rsidR="0055376F" w:rsidRDefault="00000000">
      <w:pPr>
        <w:pStyle w:val="ListParagraph"/>
        <w:numPr>
          <w:ilvl w:val="0"/>
          <w:numId w:val="2"/>
        </w:numPr>
        <w:spacing w:after="100"/>
      </w:pPr>
      <w:r>
        <w:rPr>
          <w:sz w:val="21"/>
          <w:szCs w:val="21"/>
        </w:rPr>
        <w:t>Run quick spikes or prototypes on ambiguous problems before handing scope to engineering, so direction is informed rather than guessed</w:t>
      </w:r>
    </w:p>
    <w:p w14:paraId="3A33A5D2" w14:textId="77777777" w:rsidR="0055376F" w:rsidRDefault="00000000">
      <w:pPr>
        <w:pStyle w:val="ListParagraph"/>
        <w:numPr>
          <w:ilvl w:val="0"/>
          <w:numId w:val="2"/>
        </w:numPr>
        <w:spacing w:after="100"/>
      </w:pPr>
      <w:r>
        <w:rPr>
          <w:sz w:val="21"/>
          <w:szCs w:val="21"/>
        </w:rPr>
        <w:t xml:space="preserve">Keep a standing technical review cadence that asks </w:t>
      </w:r>
      <w:proofErr w:type="gramStart"/>
      <w:r>
        <w:rPr>
          <w:sz w:val="21"/>
          <w:szCs w:val="21"/>
        </w:rPr>
        <w:t>the two</w:t>
      </w:r>
      <w:proofErr w:type="gramEnd"/>
      <w:r>
        <w:rPr>
          <w:sz w:val="21"/>
          <w:szCs w:val="21"/>
        </w:rPr>
        <w:t xml:space="preserve"> or three questions revealing whether the build matches the vision, not sign-off theater</w:t>
      </w:r>
    </w:p>
    <w:p w14:paraId="6A6D2F0C" w14:textId="77777777" w:rsidR="0055376F" w:rsidRDefault="00000000">
      <w:pPr>
        <w:pStyle w:val="ListParagraph"/>
        <w:numPr>
          <w:ilvl w:val="0"/>
          <w:numId w:val="2"/>
        </w:numPr>
        <w:spacing w:after="140"/>
      </w:pPr>
      <w:r>
        <w:rPr>
          <w:sz w:val="21"/>
          <w:szCs w:val="21"/>
        </w:rPr>
        <w:t>Earn credibility by being the person who removes ambiguity for the engineering team, not the person auditing their work after the fact</w:t>
      </w:r>
    </w:p>
    <w:p w14:paraId="79B2BD51" w14:textId="77777777" w:rsidR="0055376F" w:rsidRDefault="00000000">
      <w:pPr>
        <w:spacing w:after="220"/>
      </w:pPr>
      <w:r>
        <w:rPr>
          <w:b/>
          <w:bCs/>
          <w:color w:val="1B2A6B"/>
          <w:sz w:val="21"/>
          <w:szCs w:val="21"/>
        </w:rPr>
        <w:t>In practice</w:t>
      </w:r>
      <w:proofErr w:type="gramStart"/>
      <w:r>
        <w:rPr>
          <w:b/>
          <w:bCs/>
          <w:color w:val="1B2A6B"/>
          <w:sz w:val="21"/>
          <w:szCs w:val="21"/>
        </w:rPr>
        <w:t xml:space="preserve">:  </w:t>
      </w:r>
      <w:r>
        <w:rPr>
          <w:color w:val="222222"/>
          <w:sz w:val="21"/>
          <w:szCs w:val="21"/>
        </w:rPr>
        <w:t>At</w:t>
      </w:r>
      <w:proofErr w:type="gramEnd"/>
      <w:r>
        <w:rPr>
          <w:color w:val="222222"/>
          <w:sz w:val="21"/>
          <w:szCs w:val="21"/>
        </w:rPr>
        <w:t xml:space="preserve"> Versant, I evaluated and advanced Salesforce </w:t>
      </w:r>
      <w:proofErr w:type="spellStart"/>
      <w:r>
        <w:rPr>
          <w:color w:val="222222"/>
          <w:sz w:val="21"/>
          <w:szCs w:val="21"/>
        </w:rPr>
        <w:t>Agentforce</w:t>
      </w:r>
      <w:proofErr w:type="spellEnd"/>
      <w:r>
        <w:rPr>
          <w:color w:val="222222"/>
          <w:sz w:val="21"/>
          <w:szCs w:val="21"/>
        </w:rPr>
        <w:t>, Prompt Builder, Data Cloud integrations, and an HR onboarding chatbot. I built the proof of concept myself, hands-on, to prove feasibility and de-risk the direction, then handed off to engineering to harden it into an enterprise-grade product — staying hands-on long enough to know the idea was sound and to give engineering a real starting point, then letting go of the build and staying close through direction-setting and readiness assessment instead.</w:t>
      </w:r>
    </w:p>
    <w:p w14:paraId="5915C416" w14:textId="77777777" w:rsidR="0055376F" w:rsidRDefault="00000000">
      <w:pPr>
        <w:pStyle w:val="Heading1"/>
        <w:pBdr>
          <w:bottom w:val="single" w:sz="8" w:space="4" w:color="E14B4B"/>
        </w:pBdr>
        <w:spacing w:before="400" w:after="160"/>
      </w:pPr>
      <w:proofErr w:type="gramStart"/>
      <w:r>
        <w:rPr>
          <w:b/>
          <w:bCs/>
          <w:color w:val="E14B4B"/>
          <w:sz w:val="30"/>
          <w:szCs w:val="30"/>
        </w:rPr>
        <w:t>2  Imposing</w:t>
      </w:r>
      <w:proofErr w:type="gramEnd"/>
      <w:r>
        <w:rPr>
          <w:b/>
          <w:bCs/>
          <w:color w:val="E14B4B"/>
          <w:sz w:val="30"/>
          <w:szCs w:val="30"/>
        </w:rPr>
        <w:t xml:space="preserve"> Structure That Lasts</w:t>
      </w:r>
    </w:p>
    <w:p w14:paraId="33105CFB" w14:textId="77777777" w:rsidR="0055376F" w:rsidRDefault="00000000">
      <w:pPr>
        <w:spacing w:after="140"/>
      </w:pPr>
      <w:r>
        <w:rPr>
          <w:sz w:val="21"/>
          <w:szCs w:val="21"/>
        </w:rPr>
        <w:lastRenderedPageBreak/>
        <w:t>Structure that “sticks” is structure people adopt because it removes their pain, not structure they tolerate because it was mandated.</w:t>
      </w:r>
    </w:p>
    <w:p w14:paraId="15CBCC9F" w14:textId="77777777" w:rsidR="0055376F" w:rsidRDefault="00000000">
      <w:pPr>
        <w:pStyle w:val="ListParagraph"/>
        <w:numPr>
          <w:ilvl w:val="0"/>
          <w:numId w:val="2"/>
        </w:numPr>
        <w:spacing w:after="100"/>
      </w:pPr>
      <w:r>
        <w:rPr>
          <w:sz w:val="21"/>
          <w:szCs w:val="21"/>
        </w:rPr>
        <w:t>Durability test: would the process survive without someone enforcing it? If not, it's compliance, not adoption</w:t>
      </w:r>
    </w:p>
    <w:p w14:paraId="4675B585" w14:textId="77777777" w:rsidR="0055376F" w:rsidRDefault="00000000">
      <w:pPr>
        <w:pStyle w:val="ListParagraph"/>
        <w:numPr>
          <w:ilvl w:val="0"/>
          <w:numId w:val="2"/>
        </w:numPr>
        <w:spacing w:after="100"/>
      </w:pPr>
      <w:r>
        <w:rPr>
          <w:sz w:val="21"/>
          <w:szCs w:val="21"/>
        </w:rPr>
        <w:t>Start with the smallest version of the structure tied to a real, current pain point, not a comprehensive rollout</w:t>
      </w:r>
    </w:p>
    <w:p w14:paraId="2CC18D47" w14:textId="77777777" w:rsidR="0055376F" w:rsidRDefault="00000000">
      <w:pPr>
        <w:pStyle w:val="ListParagraph"/>
        <w:numPr>
          <w:ilvl w:val="0"/>
          <w:numId w:val="2"/>
        </w:numPr>
        <w:spacing w:after="100"/>
      </w:pPr>
      <w:r>
        <w:rPr>
          <w:sz w:val="21"/>
          <w:szCs w:val="21"/>
        </w:rPr>
        <w:t xml:space="preserve">Make the new way the path of least </w:t>
      </w:r>
      <w:proofErr w:type="gramStart"/>
      <w:r>
        <w:rPr>
          <w:sz w:val="21"/>
          <w:szCs w:val="21"/>
        </w:rPr>
        <w:t>resistance:</w:t>
      </w:r>
      <w:proofErr w:type="gramEnd"/>
      <w:r>
        <w:rPr>
          <w:sz w:val="21"/>
          <w:szCs w:val="21"/>
        </w:rPr>
        <w:t xml:space="preserve"> built into the tool, template, or default, not a policy memo</w:t>
      </w:r>
    </w:p>
    <w:p w14:paraId="1855AE18" w14:textId="77777777" w:rsidR="0055376F" w:rsidRDefault="00000000">
      <w:pPr>
        <w:pStyle w:val="ListParagraph"/>
        <w:numPr>
          <w:ilvl w:val="0"/>
          <w:numId w:val="2"/>
        </w:numPr>
        <w:spacing w:after="100"/>
      </w:pPr>
      <w:r>
        <w:rPr>
          <w:sz w:val="21"/>
          <w:szCs w:val="21"/>
        </w:rPr>
        <w:t>Recruit one credible early adopter and let their results do the persuading</w:t>
      </w:r>
    </w:p>
    <w:p w14:paraId="2A048545" w14:textId="77777777" w:rsidR="0055376F" w:rsidRDefault="00000000">
      <w:pPr>
        <w:pStyle w:val="ListParagraph"/>
        <w:numPr>
          <w:ilvl w:val="0"/>
          <w:numId w:val="2"/>
        </w:numPr>
        <w:spacing w:after="140"/>
      </w:pPr>
      <w:r>
        <w:rPr>
          <w:sz w:val="21"/>
          <w:szCs w:val="21"/>
        </w:rPr>
        <w:t>Mandate the outcome and the checkpoint; leave the “how” to each team so discipline doesn't read as a loss of autonomy</w:t>
      </w:r>
    </w:p>
    <w:p w14:paraId="0A79648A" w14:textId="77777777" w:rsidR="0055376F" w:rsidRDefault="00000000">
      <w:pPr>
        <w:spacing w:after="220"/>
      </w:pPr>
      <w:r>
        <w:rPr>
          <w:b/>
          <w:bCs/>
          <w:color w:val="1B2A6B"/>
          <w:sz w:val="21"/>
          <w:szCs w:val="21"/>
        </w:rPr>
        <w:t>In practice</w:t>
      </w:r>
      <w:proofErr w:type="gramStart"/>
      <w:r>
        <w:rPr>
          <w:b/>
          <w:bCs/>
          <w:color w:val="1B2A6B"/>
          <w:sz w:val="21"/>
          <w:szCs w:val="21"/>
        </w:rPr>
        <w:t xml:space="preserve">:  </w:t>
      </w:r>
      <w:r>
        <w:rPr>
          <w:color w:val="222222"/>
          <w:sz w:val="21"/>
          <w:szCs w:val="21"/>
        </w:rPr>
        <w:t>The</w:t>
      </w:r>
      <w:proofErr w:type="gramEnd"/>
      <w:r>
        <w:rPr>
          <w:color w:val="222222"/>
          <w:sz w:val="21"/>
          <w:szCs w:val="21"/>
        </w:rPr>
        <w:t xml:space="preserve"> Legal Contract Approval Workflow I won and built in Salesforce Data Cloud at Versant, chosen over a competing Asana proposal, then scaled from 65 to 700+ approval processes against a hard platform limit of 300. That required redesigning the architecture under real-time risk pressure, not just adding capacity — a structure that had to </w:t>
      </w:r>
      <w:proofErr w:type="gramStart"/>
      <w:r>
        <w:rPr>
          <w:color w:val="222222"/>
          <w:sz w:val="21"/>
          <w:szCs w:val="21"/>
        </w:rPr>
        <w:t>actually hold</w:t>
      </w:r>
      <w:proofErr w:type="gramEnd"/>
      <w:r>
        <w:rPr>
          <w:color w:val="222222"/>
          <w:sz w:val="21"/>
          <w:szCs w:val="21"/>
        </w:rPr>
        <w:t xml:space="preserve"> at ten times the scale it was designed for.</w:t>
      </w:r>
    </w:p>
    <w:p w14:paraId="6E12A5A5" w14:textId="77777777" w:rsidR="0055376F" w:rsidRDefault="00000000">
      <w:pPr>
        <w:pStyle w:val="Heading1"/>
        <w:pBdr>
          <w:bottom w:val="single" w:sz="8" w:space="4" w:color="8BC34A"/>
        </w:pBdr>
        <w:spacing w:before="400" w:after="160"/>
      </w:pPr>
      <w:proofErr w:type="gramStart"/>
      <w:r>
        <w:rPr>
          <w:b/>
          <w:bCs/>
          <w:color w:val="8BC34A"/>
          <w:sz w:val="30"/>
          <w:szCs w:val="30"/>
        </w:rPr>
        <w:t>3  Commercializing</w:t>
      </w:r>
      <w:proofErr w:type="gramEnd"/>
      <w:r>
        <w:rPr>
          <w:b/>
          <w:bCs/>
          <w:color w:val="8BC34A"/>
          <w:sz w:val="30"/>
          <w:szCs w:val="30"/>
        </w:rPr>
        <w:t xml:space="preserve"> Service Lines</w:t>
      </w:r>
    </w:p>
    <w:p w14:paraId="5C69AEE4" w14:textId="77777777" w:rsidR="0055376F" w:rsidRDefault="00000000">
      <w:pPr>
        <w:spacing w:after="140"/>
      </w:pPr>
      <w:r>
        <w:rPr>
          <w:sz w:val="21"/>
          <w:szCs w:val="21"/>
        </w:rPr>
        <w:t xml:space="preserve">Product economics starts with visibility: cost-to-serve by account, margin by segment, and what's </w:t>
      </w:r>
      <w:proofErr w:type="gramStart"/>
      <w:r>
        <w:rPr>
          <w:sz w:val="21"/>
          <w:szCs w:val="21"/>
        </w:rPr>
        <w:t>actually driving</w:t>
      </w:r>
      <w:proofErr w:type="gramEnd"/>
      <w:r>
        <w:rPr>
          <w:sz w:val="21"/>
          <w:szCs w:val="21"/>
        </w:rPr>
        <w:t xml:space="preserve"> a thin margin (labor, scope creep, undifferentiated pricing), before any pricing call gets made.</w:t>
      </w:r>
    </w:p>
    <w:p w14:paraId="5D6735B8" w14:textId="77777777" w:rsidR="0055376F" w:rsidRDefault="00000000">
      <w:pPr>
        <w:spacing w:after="100"/>
      </w:pPr>
      <w:r>
        <w:rPr>
          <w:sz w:val="21"/>
          <w:szCs w:val="21"/>
        </w:rPr>
        <w:t>A well-liked, thin-margin line has more than two options (raise price or kill it):</w:t>
      </w:r>
    </w:p>
    <w:p w14:paraId="5B84CC54" w14:textId="77777777" w:rsidR="0055376F" w:rsidRDefault="00000000">
      <w:pPr>
        <w:pStyle w:val="ListParagraph"/>
        <w:numPr>
          <w:ilvl w:val="0"/>
          <w:numId w:val="2"/>
        </w:numPr>
        <w:spacing w:after="100"/>
      </w:pPr>
      <w:r>
        <w:rPr>
          <w:sz w:val="21"/>
          <w:szCs w:val="21"/>
        </w:rPr>
        <w:t xml:space="preserve">Repackage — separate the high-cost, low-differentiation work from the part clients </w:t>
      </w:r>
      <w:proofErr w:type="gramStart"/>
      <w:r>
        <w:rPr>
          <w:sz w:val="21"/>
          <w:szCs w:val="21"/>
        </w:rPr>
        <w:t>actually value</w:t>
      </w:r>
      <w:proofErr w:type="gramEnd"/>
    </w:p>
    <w:p w14:paraId="109F8F5B" w14:textId="77777777" w:rsidR="0055376F" w:rsidRDefault="00000000">
      <w:pPr>
        <w:pStyle w:val="ListParagraph"/>
        <w:numPr>
          <w:ilvl w:val="0"/>
          <w:numId w:val="2"/>
        </w:numPr>
        <w:spacing w:after="100"/>
      </w:pPr>
      <w:r>
        <w:rPr>
          <w:sz w:val="21"/>
          <w:szCs w:val="21"/>
        </w:rPr>
        <w:t>Productize the delivery — invest in tooling that lowers cost-to-serve so margin improves without touching price</w:t>
      </w:r>
    </w:p>
    <w:p w14:paraId="544B4B8E" w14:textId="77777777" w:rsidR="0055376F" w:rsidRDefault="00000000">
      <w:pPr>
        <w:pStyle w:val="ListParagraph"/>
        <w:numPr>
          <w:ilvl w:val="0"/>
          <w:numId w:val="2"/>
        </w:numPr>
        <w:spacing w:after="140"/>
      </w:pPr>
      <w:r>
        <w:rPr>
          <w:sz w:val="21"/>
          <w:szCs w:val="21"/>
        </w:rPr>
        <w:t>Tier it — a leaner, automated option alongside a premium hands-on option at a different price point</w:t>
      </w:r>
    </w:p>
    <w:p w14:paraId="679E7AF3" w14:textId="77777777" w:rsidR="0055376F" w:rsidRDefault="00000000">
      <w:pPr>
        <w:spacing w:after="140"/>
      </w:pPr>
      <w:r>
        <w:rPr>
          <w:sz w:val="21"/>
          <w:szCs w:val="21"/>
        </w:rPr>
        <w:t>Bringing Sales and Delivery along means showing them the unit economics directly rather than announcing a decision, involving them in shaping the new package, and giving existing clients a runway instead of a cliff.</w:t>
      </w:r>
    </w:p>
    <w:p w14:paraId="45DF997D" w14:textId="77777777" w:rsidR="0055376F" w:rsidRDefault="00000000">
      <w:pPr>
        <w:spacing w:after="220"/>
      </w:pPr>
      <w:r>
        <w:rPr>
          <w:b/>
          <w:bCs/>
          <w:color w:val="1B2A6B"/>
          <w:sz w:val="21"/>
          <w:szCs w:val="21"/>
        </w:rPr>
        <w:t xml:space="preserve">In practice:  </w:t>
      </w:r>
      <w:r>
        <w:rPr>
          <w:color w:val="222222"/>
          <w:sz w:val="21"/>
          <w:szCs w:val="21"/>
        </w:rPr>
        <w:t xml:space="preserve">For 12+ years (2008–2020) I ran my own consultancy, The Creative Cohen, packaging and delivering digital marketing services directly to small businesses and established corporations, not so different from a full-service agency's own client base. At </w:t>
      </w:r>
      <w:proofErr w:type="spellStart"/>
      <w:r>
        <w:rPr>
          <w:color w:val="222222"/>
          <w:sz w:val="21"/>
          <w:szCs w:val="21"/>
        </w:rPr>
        <w:t>WesselDesign</w:t>
      </w:r>
      <w:proofErr w:type="spellEnd"/>
      <w:r>
        <w:rPr>
          <w:color w:val="222222"/>
          <w:sz w:val="21"/>
          <w:szCs w:val="21"/>
        </w:rPr>
        <w:t xml:space="preserve"> I consulted on reducing the cost-per-unit of print materials by cutting output while increasing message quality — the same “repackage, don't just cut” instinct a thin-margin service line </w:t>
      </w:r>
      <w:proofErr w:type="gramStart"/>
      <w:r>
        <w:rPr>
          <w:color w:val="222222"/>
          <w:sz w:val="21"/>
          <w:szCs w:val="21"/>
        </w:rPr>
        <w:t>needs</w:t>
      </w:r>
      <w:proofErr w:type="gramEnd"/>
      <w:r>
        <w:rPr>
          <w:color w:val="222222"/>
          <w:sz w:val="21"/>
          <w:szCs w:val="21"/>
        </w:rPr>
        <w:t>. At Kahn's Catering, I managed a full family of sites and partnered with internal and external stakeholders to align delivery with brand strategy, with no authority over either side. And at Caleres: diagnosing which underperforming customer journeys to re-optimize rather than abandon, using predictive send-time optimization to lift engagement 20% and revenue an average of $20K on the weakest journeys, and moving email conversion from -23% to +20% YoY through targeted segmentation.</w:t>
      </w:r>
    </w:p>
    <w:p w14:paraId="2E1028C1" w14:textId="77777777" w:rsidR="0055376F" w:rsidRDefault="00000000">
      <w:pPr>
        <w:pStyle w:val="Heading1"/>
        <w:pBdr>
          <w:bottom w:val="single" w:sz="8" w:space="4" w:color="2E9BE6"/>
        </w:pBdr>
        <w:spacing w:before="400" w:after="160"/>
      </w:pPr>
      <w:proofErr w:type="gramStart"/>
      <w:r>
        <w:rPr>
          <w:b/>
          <w:bCs/>
          <w:color w:val="2E9BE6"/>
          <w:sz w:val="30"/>
          <w:szCs w:val="30"/>
        </w:rPr>
        <w:t>4  Aligning</w:t>
      </w:r>
      <w:proofErr w:type="gramEnd"/>
      <w:r>
        <w:rPr>
          <w:b/>
          <w:bCs/>
          <w:color w:val="2E9BE6"/>
          <w:sz w:val="30"/>
          <w:szCs w:val="30"/>
        </w:rPr>
        <w:t xml:space="preserve"> Department Leaders Without Direct Authority</w:t>
      </w:r>
    </w:p>
    <w:p w14:paraId="3CF82D82" w14:textId="77777777" w:rsidR="0055376F" w:rsidRDefault="00000000">
      <w:pPr>
        <w:spacing w:after="140"/>
      </w:pPr>
      <w:r>
        <w:rPr>
          <w:sz w:val="21"/>
          <w:szCs w:val="21"/>
        </w:rPr>
        <w:t>Building on a listening-and-SWOT instinct, here's how that becomes durable alignment in the first 90 days across Performance, Creative, Insight, and Automation.</w:t>
      </w:r>
    </w:p>
    <w:p w14:paraId="17F6B350" w14:textId="77777777" w:rsidR="0055376F" w:rsidRDefault="00000000">
      <w:pPr>
        <w:pStyle w:val="ListParagraph"/>
        <w:numPr>
          <w:ilvl w:val="0"/>
          <w:numId w:val="2"/>
        </w:numPr>
        <w:spacing w:after="100"/>
      </w:pPr>
      <w:r>
        <w:rPr>
          <w:sz w:val="21"/>
          <w:szCs w:val="21"/>
        </w:rPr>
        <w:t xml:space="preserve">Days 1–30 — Listen and map: individual conversations with each leader, understand what they're </w:t>
      </w:r>
      <w:proofErr w:type="gramStart"/>
      <w:r>
        <w:rPr>
          <w:sz w:val="21"/>
          <w:szCs w:val="21"/>
        </w:rPr>
        <w:t>actually measured</w:t>
      </w:r>
      <w:proofErr w:type="gramEnd"/>
      <w:r>
        <w:rPr>
          <w:sz w:val="21"/>
          <w:szCs w:val="21"/>
        </w:rPr>
        <w:t xml:space="preserve"> on, find the one pain point all four departments feel independently</w:t>
      </w:r>
    </w:p>
    <w:p w14:paraId="6E49CACB" w14:textId="77777777" w:rsidR="0055376F" w:rsidRDefault="00000000">
      <w:pPr>
        <w:pStyle w:val="ListParagraph"/>
        <w:numPr>
          <w:ilvl w:val="0"/>
          <w:numId w:val="2"/>
        </w:numPr>
        <w:spacing w:after="100"/>
      </w:pPr>
      <w:r>
        <w:rPr>
          <w:sz w:val="21"/>
          <w:szCs w:val="21"/>
        </w:rPr>
        <w:t>Days 31–60 — Co-authored narrative: turn what was heard into a shared one-pager connecting each department's existing goals to a single product vision, built with their input, not delivered to them</w:t>
      </w:r>
    </w:p>
    <w:p w14:paraId="1FF5B992" w14:textId="77777777" w:rsidR="0055376F" w:rsidRDefault="00000000">
      <w:pPr>
        <w:pStyle w:val="ListParagraph"/>
        <w:numPr>
          <w:ilvl w:val="0"/>
          <w:numId w:val="2"/>
        </w:numPr>
        <w:spacing w:after="140"/>
      </w:pPr>
      <w:r>
        <w:rPr>
          <w:sz w:val="21"/>
          <w:szCs w:val="21"/>
        </w:rPr>
        <w:t>Days 61–90 — One visible joint win: a small, cross-functional pilot with a fast, undeniable result — coalition credibility comes from a shared win, not a mandate</w:t>
      </w:r>
    </w:p>
    <w:p w14:paraId="30DCD834" w14:textId="77777777" w:rsidR="0055376F" w:rsidRDefault="00000000">
      <w:pPr>
        <w:spacing w:after="140"/>
      </w:pPr>
      <w:r>
        <w:rPr>
          <w:sz w:val="21"/>
          <w:szCs w:val="21"/>
        </w:rPr>
        <w:t>What sustains it: a standing cross-department cadence and one shared source of truth, so alignment isn't re-litigated every meeting, plus a habit of tying the collective vision back to each leader's own KPIs.</w:t>
      </w:r>
    </w:p>
    <w:p w14:paraId="235F0547" w14:textId="77777777" w:rsidR="0055376F" w:rsidRDefault="00000000">
      <w:pPr>
        <w:spacing w:after="100"/>
      </w:pPr>
      <w:r>
        <w:rPr>
          <w:sz w:val="21"/>
          <w:szCs w:val="21"/>
        </w:rPr>
        <w:lastRenderedPageBreak/>
        <w:t>SWOT alone won't catch everything. Pair it with:</w:t>
      </w:r>
    </w:p>
    <w:p w14:paraId="0F5A4C16" w14:textId="77777777" w:rsidR="0055376F" w:rsidRDefault="00000000">
      <w:pPr>
        <w:pStyle w:val="ListParagraph"/>
        <w:numPr>
          <w:ilvl w:val="0"/>
          <w:numId w:val="2"/>
        </w:numPr>
        <w:spacing w:after="100"/>
      </w:pPr>
      <w:r>
        <w:rPr>
          <w:sz w:val="21"/>
          <w:szCs w:val="21"/>
        </w:rPr>
        <w:t xml:space="preserve">Stakeholder / influence map — who </w:t>
      </w:r>
      <w:proofErr w:type="gramStart"/>
      <w:r>
        <w:rPr>
          <w:sz w:val="21"/>
          <w:szCs w:val="21"/>
        </w:rPr>
        <w:t>actually holds</w:t>
      </w:r>
      <w:proofErr w:type="gramEnd"/>
      <w:r>
        <w:rPr>
          <w:sz w:val="21"/>
          <w:szCs w:val="21"/>
        </w:rPr>
        <w:t xml:space="preserve"> sway in each department, formal title aside; SWOT tells you strengths and threats, not who you need in the room to act on them</w:t>
      </w:r>
    </w:p>
    <w:p w14:paraId="1625B2EC" w14:textId="77777777" w:rsidR="0055376F" w:rsidRDefault="00000000">
      <w:pPr>
        <w:pStyle w:val="ListParagraph"/>
        <w:numPr>
          <w:ilvl w:val="0"/>
          <w:numId w:val="2"/>
        </w:numPr>
        <w:spacing w:after="100"/>
      </w:pPr>
      <w:r>
        <w:rPr>
          <w:sz w:val="21"/>
          <w:szCs w:val="21"/>
        </w:rPr>
        <w:t xml:space="preserve">RACI on the cross-department handoff points — Performance ↔ Creative ↔ Insight ↔ Automation — this is where friction during account-rep handoffs and inconsistent delivery </w:t>
      </w:r>
      <w:proofErr w:type="gramStart"/>
      <w:r>
        <w:rPr>
          <w:sz w:val="21"/>
          <w:szCs w:val="21"/>
        </w:rPr>
        <w:t>actually live</w:t>
      </w:r>
      <w:proofErr w:type="gramEnd"/>
    </w:p>
    <w:p w14:paraId="3F4DD3C9" w14:textId="77777777" w:rsidR="0055376F" w:rsidRDefault="00000000">
      <w:pPr>
        <w:pStyle w:val="ListParagraph"/>
        <w:numPr>
          <w:ilvl w:val="0"/>
          <w:numId w:val="2"/>
        </w:numPr>
        <w:spacing w:after="100"/>
      </w:pPr>
      <w:r>
        <w:rPr>
          <w:sz w:val="21"/>
          <w:szCs w:val="21"/>
        </w:rPr>
        <w:t>Skills/capability matrix by function — whether current teams can support the AI-forward roadmap, or where build-vs-buy-vs-partner calls are coming</w:t>
      </w:r>
    </w:p>
    <w:p w14:paraId="27C2ADDF" w14:textId="77777777" w:rsidR="0055376F" w:rsidRDefault="00000000">
      <w:pPr>
        <w:pStyle w:val="ListParagraph"/>
        <w:numPr>
          <w:ilvl w:val="0"/>
          <w:numId w:val="2"/>
        </w:numPr>
        <w:spacing w:after="100"/>
      </w:pPr>
      <w:r>
        <w:rPr>
          <w:sz w:val="21"/>
          <w:szCs w:val="21"/>
        </w:rPr>
        <w:t xml:space="preserve">Lightweight voice-of-client pass — recent feedback or NPS/CSAT if it exists, plus 2–3 case studies spanning different service lines, so the internal SWOT is checked against how clients </w:t>
      </w:r>
      <w:proofErr w:type="gramStart"/>
      <w:r>
        <w:rPr>
          <w:sz w:val="21"/>
          <w:szCs w:val="21"/>
        </w:rPr>
        <w:t>actually experience</w:t>
      </w:r>
      <w:proofErr w:type="gramEnd"/>
      <w:r>
        <w:rPr>
          <w:sz w:val="21"/>
          <w:szCs w:val="21"/>
        </w:rPr>
        <w:t xml:space="preserve"> the agency today</w:t>
      </w:r>
    </w:p>
    <w:p w14:paraId="72951468" w14:textId="77777777" w:rsidR="0055376F" w:rsidRDefault="00000000">
      <w:pPr>
        <w:pStyle w:val="ListParagraph"/>
        <w:numPr>
          <w:ilvl w:val="0"/>
          <w:numId w:val="2"/>
        </w:numPr>
        <w:spacing w:after="140"/>
      </w:pPr>
      <w:r>
        <w:rPr>
          <w:sz w:val="21"/>
          <w:szCs w:val="21"/>
        </w:rPr>
        <w:t>A first KPI/reporting baseline — even directional numbers, so “alignment” has something concrete to point at by day 90, not just consensus on a narrative</w:t>
      </w:r>
    </w:p>
    <w:p w14:paraId="5C3CD629" w14:textId="77777777" w:rsidR="0055376F" w:rsidRDefault="00000000">
      <w:pPr>
        <w:spacing w:after="140"/>
      </w:pPr>
      <w:r>
        <w:rPr>
          <w:sz w:val="21"/>
          <w:szCs w:val="21"/>
        </w:rPr>
        <w:t>A toolkit already built for this: my own Organizational Assessment Discovery Intake (seven sections — Product &amp; Commercial Overview, Economics &amp; Performance, Operations &amp; Delivery, Technology Stack Evaluation, Talent &amp; Skills Capability, Client Voice, Strategic Context) and accompanying starter documentation templates — Team Structure Snapshot, Skills/Competency Matrix, Service Scoping/SOW with roles and handoff points, KPI &amp; Reporting Framework, Growth Objectives — are a working version of exactly this stack.</w:t>
      </w:r>
    </w:p>
    <w:p w14:paraId="24F0D0D1" w14:textId="77777777" w:rsidR="0055376F" w:rsidRDefault="00000000">
      <w:pPr>
        <w:spacing w:after="220"/>
      </w:pPr>
      <w:r>
        <w:rPr>
          <w:b/>
          <w:bCs/>
          <w:color w:val="1B2A6B"/>
          <w:sz w:val="21"/>
          <w:szCs w:val="21"/>
        </w:rPr>
        <w:t>In practice</w:t>
      </w:r>
      <w:proofErr w:type="gramStart"/>
      <w:r>
        <w:rPr>
          <w:b/>
          <w:bCs/>
          <w:color w:val="1B2A6B"/>
          <w:sz w:val="21"/>
          <w:szCs w:val="21"/>
        </w:rPr>
        <w:t xml:space="preserve">:  </w:t>
      </w:r>
      <w:r>
        <w:rPr>
          <w:color w:val="222222"/>
          <w:sz w:val="21"/>
          <w:szCs w:val="21"/>
        </w:rPr>
        <w:t>The</w:t>
      </w:r>
      <w:proofErr w:type="gramEnd"/>
      <w:r>
        <w:rPr>
          <w:color w:val="222222"/>
          <w:sz w:val="21"/>
          <w:szCs w:val="21"/>
        </w:rPr>
        <w:t xml:space="preserve"> $1M+ annual cost savings I drove at NBCUniversal through </w:t>
      </w:r>
      <w:proofErr w:type="spellStart"/>
      <w:r>
        <w:rPr>
          <w:color w:val="222222"/>
          <w:sz w:val="21"/>
          <w:szCs w:val="21"/>
        </w:rPr>
        <w:t>MarTech</w:t>
      </w:r>
      <w:proofErr w:type="spellEnd"/>
      <w:r>
        <w:rPr>
          <w:color w:val="222222"/>
          <w:sz w:val="21"/>
          <w:szCs w:val="21"/>
        </w:rPr>
        <w:t xml:space="preserve"> platform optimization and vendor consolidation (including replacing paid content tooling with syndicated NBC Sports/Olympics feeds) required buy-in across teams with no authority over them. Building a Salesforce/</w:t>
      </w:r>
      <w:proofErr w:type="spellStart"/>
      <w:r>
        <w:rPr>
          <w:color w:val="222222"/>
          <w:sz w:val="21"/>
          <w:szCs w:val="21"/>
        </w:rPr>
        <w:t>MarTech</w:t>
      </w:r>
      <w:proofErr w:type="spellEnd"/>
      <w:r>
        <w:rPr>
          <w:color w:val="222222"/>
          <w:sz w:val="21"/>
          <w:szCs w:val="21"/>
        </w:rPr>
        <w:t xml:space="preserve"> Center of Excellence across 5+ brands (</w:t>
      </w:r>
      <w:proofErr w:type="spellStart"/>
      <w:r>
        <w:rPr>
          <w:color w:val="222222"/>
          <w:sz w:val="21"/>
          <w:szCs w:val="21"/>
        </w:rPr>
        <w:t>GolfNow</w:t>
      </w:r>
      <w:proofErr w:type="spellEnd"/>
      <w:r>
        <w:rPr>
          <w:color w:val="222222"/>
          <w:sz w:val="21"/>
          <w:szCs w:val="21"/>
        </w:rPr>
        <w:t xml:space="preserve">, </w:t>
      </w:r>
      <w:proofErr w:type="spellStart"/>
      <w:r>
        <w:rPr>
          <w:color w:val="222222"/>
          <w:sz w:val="21"/>
          <w:szCs w:val="21"/>
        </w:rPr>
        <w:t>SportsEngine</w:t>
      </w:r>
      <w:proofErr w:type="spellEnd"/>
      <w:r>
        <w:rPr>
          <w:color w:val="222222"/>
          <w:sz w:val="21"/>
          <w:szCs w:val="21"/>
        </w:rPr>
        <w:t>, CNBC) is the same shape of challenge as aligning four departments, just applied to internal orgs. Leading marketing operations technology across three Olympics, resulting in two Emmys, shows operating under real cross-functional pressure at enterprise scale. And for years before that, running Kahn's Catering's family of sites as an outside consultant meant aligning internal and external content owners around one brand strategy with zero authority over either side.</w:t>
      </w:r>
    </w:p>
    <w:p w14:paraId="4587A74F" w14:textId="77777777" w:rsidR="0055376F" w:rsidRDefault="00000000">
      <w:pPr>
        <w:pStyle w:val="Heading1"/>
        <w:pBdr>
          <w:bottom w:val="single" w:sz="8" w:space="4" w:color="1B2A6B"/>
        </w:pBdr>
        <w:spacing w:before="400" w:after="160"/>
      </w:pPr>
      <w:r>
        <w:rPr>
          <w:b/>
          <w:bCs/>
          <w:color w:val="1B2A6B"/>
          <w:sz w:val="30"/>
          <w:szCs w:val="30"/>
        </w:rPr>
        <w:t>Applied Scenarios</w:t>
      </w:r>
    </w:p>
    <w:p w14:paraId="002A632F" w14:textId="77777777" w:rsidR="0055376F" w:rsidRDefault="00000000">
      <w:pPr>
        <w:spacing w:after="180"/>
      </w:pPr>
      <w:r>
        <w:rPr>
          <w:sz w:val="21"/>
          <w:szCs w:val="21"/>
        </w:rPr>
        <w:t xml:space="preserve">Six recurring situations this kind of role runs into, and the approach that holds up once it's </w:t>
      </w:r>
      <w:proofErr w:type="gramStart"/>
      <w:r>
        <w:rPr>
          <w:sz w:val="21"/>
          <w:szCs w:val="21"/>
        </w:rPr>
        <w:t>actually tested</w:t>
      </w:r>
      <w:proofErr w:type="gramEnd"/>
      <w:r>
        <w:rPr>
          <w:sz w:val="21"/>
          <w:szCs w:val="21"/>
        </w:rPr>
        <w:t>.</w:t>
      </w:r>
    </w:p>
    <w:p w14:paraId="752BC19C" w14:textId="77777777" w:rsidR="0055376F" w:rsidRDefault="00000000">
      <w:pPr>
        <w:spacing w:before="160" w:after="100"/>
      </w:pPr>
      <w:r>
        <w:rPr>
          <w:b/>
          <w:bCs/>
          <w:color w:val="1B2A6B"/>
          <w:sz w:val="24"/>
          <w:szCs w:val="24"/>
        </w:rPr>
        <w:t xml:space="preserve">A — Making Integrations Stick: </w:t>
      </w:r>
      <w:proofErr w:type="gramStart"/>
      <w:r>
        <w:rPr>
          <w:b/>
          <w:bCs/>
          <w:color w:val="1B2A6B"/>
          <w:sz w:val="24"/>
          <w:szCs w:val="24"/>
        </w:rPr>
        <w:t>the</w:t>
      </w:r>
      <w:proofErr w:type="gramEnd"/>
      <w:r>
        <w:rPr>
          <w:b/>
          <w:bCs/>
          <w:color w:val="1B2A6B"/>
          <w:sz w:val="24"/>
          <w:szCs w:val="24"/>
        </w:rPr>
        <w:t xml:space="preserve"> Week-Three Holdout</w:t>
      </w:r>
    </w:p>
    <w:p w14:paraId="2AAF7F13" w14:textId="77777777" w:rsidR="0055376F" w:rsidRDefault="00000000">
      <w:pPr>
        <w:spacing w:after="80"/>
      </w:pPr>
      <w:r>
        <w:rPr>
          <w:b/>
          <w:bCs/>
          <w:sz w:val="21"/>
          <w:szCs w:val="21"/>
        </w:rPr>
        <w:t>Situation</w:t>
      </w:r>
      <w:proofErr w:type="gramStart"/>
      <w:r>
        <w:rPr>
          <w:b/>
          <w:bCs/>
          <w:sz w:val="21"/>
          <w:szCs w:val="21"/>
        </w:rPr>
        <w:t xml:space="preserve">:  </w:t>
      </w:r>
      <w:r>
        <w:rPr>
          <w:sz w:val="21"/>
          <w:szCs w:val="21"/>
        </w:rPr>
        <w:t>A</w:t>
      </w:r>
      <w:proofErr w:type="gramEnd"/>
      <w:r>
        <w:rPr>
          <w:sz w:val="21"/>
          <w:szCs w:val="21"/>
        </w:rPr>
        <w:t xml:space="preserve"> department leader believes a new shared process is overhead and quietly keeps doing it their old way.</w:t>
      </w:r>
    </w:p>
    <w:p w14:paraId="29AAD871" w14:textId="77777777" w:rsidR="0055376F" w:rsidRDefault="00000000">
      <w:pPr>
        <w:spacing w:after="60"/>
      </w:pPr>
      <w:r>
        <w:rPr>
          <w:b/>
          <w:bCs/>
          <w:sz w:val="21"/>
          <w:szCs w:val="21"/>
        </w:rPr>
        <w:t>Approach:</w:t>
      </w:r>
    </w:p>
    <w:p w14:paraId="1A3E270B" w14:textId="77777777" w:rsidR="0055376F" w:rsidRDefault="00000000">
      <w:pPr>
        <w:pStyle w:val="ListParagraph"/>
        <w:numPr>
          <w:ilvl w:val="0"/>
          <w:numId w:val="2"/>
        </w:numPr>
        <w:spacing w:after="80"/>
      </w:pPr>
      <w:r>
        <w:rPr>
          <w:sz w:val="21"/>
          <w:szCs w:val="21"/>
        </w:rPr>
        <w:t>Go to them directly and privately — treat the resistance as signal, not defiance</w:t>
      </w:r>
    </w:p>
    <w:p w14:paraId="5D6C891E" w14:textId="77777777" w:rsidR="0055376F" w:rsidRDefault="00000000">
      <w:pPr>
        <w:pStyle w:val="ListParagraph"/>
        <w:numPr>
          <w:ilvl w:val="0"/>
          <w:numId w:val="2"/>
        </w:numPr>
        <w:spacing w:after="80"/>
      </w:pPr>
      <w:r>
        <w:rPr>
          <w:sz w:val="21"/>
          <w:szCs w:val="21"/>
        </w:rPr>
        <w:t xml:space="preserve">Ask what's </w:t>
      </w:r>
      <w:proofErr w:type="gramStart"/>
      <w:r>
        <w:rPr>
          <w:sz w:val="21"/>
          <w:szCs w:val="21"/>
        </w:rPr>
        <w:t>actually broken</w:t>
      </w:r>
      <w:proofErr w:type="gramEnd"/>
      <w:r>
        <w:rPr>
          <w:sz w:val="21"/>
          <w:szCs w:val="21"/>
        </w:rPr>
        <w:t xml:space="preserve"> about the process for their specific workflow, rather than assuming it's just resistance to change</w:t>
      </w:r>
    </w:p>
    <w:p w14:paraId="27D51F9D" w14:textId="77777777" w:rsidR="0055376F" w:rsidRDefault="00000000">
      <w:pPr>
        <w:pStyle w:val="ListParagraph"/>
        <w:numPr>
          <w:ilvl w:val="0"/>
          <w:numId w:val="2"/>
        </w:numPr>
        <w:spacing w:after="80"/>
      </w:pPr>
      <w:r>
        <w:rPr>
          <w:sz w:val="21"/>
          <w:szCs w:val="21"/>
        </w:rPr>
        <w:t>If it's a real workflow mismatch: fix it with them that week — willingness to amend the process is the credibility move</w:t>
      </w:r>
    </w:p>
    <w:p w14:paraId="362A8A1A" w14:textId="77777777" w:rsidR="0055376F" w:rsidRDefault="00000000">
      <w:pPr>
        <w:pStyle w:val="ListParagraph"/>
        <w:numPr>
          <w:ilvl w:val="0"/>
          <w:numId w:val="2"/>
        </w:numPr>
        <w:spacing w:after="80"/>
      </w:pPr>
      <w:r>
        <w:rPr>
          <w:sz w:val="21"/>
          <w:szCs w:val="21"/>
        </w:rPr>
        <w:t>If it's genuine reluctance: agree a short, defined trial with a checkpoint date, and let visible peer adoption do some of the persuading</w:t>
      </w:r>
    </w:p>
    <w:p w14:paraId="1900C68A" w14:textId="77777777" w:rsidR="0055376F" w:rsidRDefault="00000000">
      <w:pPr>
        <w:pStyle w:val="ListParagraph"/>
        <w:numPr>
          <w:ilvl w:val="0"/>
          <w:numId w:val="2"/>
        </w:numPr>
        <w:spacing w:after="100"/>
      </w:pPr>
      <w:proofErr w:type="gramStart"/>
      <w:r>
        <w:rPr>
          <w:sz w:val="21"/>
          <w:szCs w:val="21"/>
        </w:rPr>
        <w:t>Watch for</w:t>
      </w:r>
      <w:proofErr w:type="gramEnd"/>
      <w:r>
        <w:rPr>
          <w:sz w:val="21"/>
          <w:szCs w:val="21"/>
        </w:rPr>
        <w:t xml:space="preserve"> repeat behavior after the fix — that signals a trust or incentive issue, not a process one, and needs a different conversation</w:t>
      </w:r>
    </w:p>
    <w:p w14:paraId="4DCD4D5C" w14:textId="77777777" w:rsidR="0055376F" w:rsidRDefault="00000000">
      <w:pPr>
        <w:spacing w:after="140"/>
      </w:pPr>
      <w:r>
        <w:rPr>
          <w:b/>
          <w:bCs/>
          <w:sz w:val="21"/>
          <w:szCs w:val="21"/>
        </w:rPr>
        <w:t xml:space="preserve">Why:  </w:t>
      </w:r>
      <w:r>
        <w:rPr>
          <w:sz w:val="21"/>
          <w:szCs w:val="21"/>
        </w:rPr>
        <w:t>This is “challenge the assumption” in practice: question the premise, including one's own, before assuming the leader is simply wrong.</w:t>
      </w:r>
    </w:p>
    <w:p w14:paraId="581DA939" w14:textId="77777777" w:rsidR="0055376F" w:rsidRDefault="00000000">
      <w:pPr>
        <w:spacing w:after="220"/>
      </w:pPr>
      <w:r>
        <w:rPr>
          <w:b/>
          <w:bCs/>
          <w:color w:val="1B2A6B"/>
          <w:sz w:val="21"/>
          <w:szCs w:val="21"/>
        </w:rPr>
        <w:t xml:space="preserve">In practice:  </w:t>
      </w:r>
      <w:r>
        <w:rPr>
          <w:color w:val="222222"/>
          <w:sz w:val="21"/>
          <w:szCs w:val="21"/>
        </w:rPr>
        <w:t>At Caleres, a multi-day latency in customer data syncing to the ESP was quietly being worked around for a while before I traced it to an old, broken API and fixed the root cause, not a symptom, which also resolved a top customer complaint (missed first-purchase discounts) and cut first-message unsubscribes. That's the core operating principle at work: solve root-cause problems through systems design, not short-term workarounds.</w:t>
      </w:r>
    </w:p>
    <w:p w14:paraId="04F1D1A4" w14:textId="77777777" w:rsidR="0055376F" w:rsidRDefault="00000000">
      <w:pPr>
        <w:spacing w:before="160" w:after="100"/>
      </w:pPr>
      <w:r>
        <w:rPr>
          <w:b/>
          <w:bCs/>
          <w:color w:val="1B2A6B"/>
          <w:sz w:val="24"/>
          <w:szCs w:val="24"/>
        </w:rPr>
        <w:t>B — Four Departments, One Vision: the 90-Day Sequence</w:t>
      </w:r>
    </w:p>
    <w:p w14:paraId="4C044390" w14:textId="77777777" w:rsidR="0055376F" w:rsidRDefault="00000000">
      <w:pPr>
        <w:spacing w:after="80"/>
      </w:pPr>
      <w:r>
        <w:rPr>
          <w:b/>
          <w:bCs/>
          <w:sz w:val="21"/>
          <w:szCs w:val="21"/>
        </w:rPr>
        <w:lastRenderedPageBreak/>
        <w:t>Situation</w:t>
      </w:r>
      <w:proofErr w:type="gramStart"/>
      <w:r>
        <w:rPr>
          <w:b/>
          <w:bCs/>
          <w:sz w:val="21"/>
          <w:szCs w:val="21"/>
        </w:rPr>
        <w:t xml:space="preserve">:  </w:t>
      </w:r>
      <w:r>
        <w:rPr>
          <w:sz w:val="21"/>
          <w:szCs w:val="21"/>
        </w:rPr>
        <w:t>Data</w:t>
      </w:r>
      <w:proofErr w:type="gramEnd"/>
      <w:r>
        <w:rPr>
          <w:sz w:val="21"/>
          <w:szCs w:val="21"/>
        </w:rPr>
        <w:t xml:space="preserve"> is fragmented, reporting is largely manual, and four departments need coherence.</w:t>
      </w:r>
    </w:p>
    <w:p w14:paraId="5AA0D3FC" w14:textId="77777777" w:rsidR="0055376F" w:rsidRDefault="00000000">
      <w:pPr>
        <w:spacing w:after="60"/>
      </w:pPr>
      <w:r>
        <w:rPr>
          <w:b/>
          <w:bCs/>
          <w:sz w:val="21"/>
          <w:szCs w:val="21"/>
        </w:rPr>
        <w:t>Approach:</w:t>
      </w:r>
    </w:p>
    <w:p w14:paraId="66F1613B" w14:textId="77777777" w:rsidR="0055376F" w:rsidRDefault="00000000">
      <w:pPr>
        <w:pStyle w:val="ListParagraph"/>
        <w:numPr>
          <w:ilvl w:val="0"/>
          <w:numId w:val="2"/>
        </w:numPr>
        <w:spacing w:after="80"/>
      </w:pPr>
      <w:r>
        <w:rPr>
          <w:sz w:val="21"/>
          <w:szCs w:val="21"/>
        </w:rPr>
        <w:t>Resist starting with a full BI build — start from the one decision that matters most across all four departments and find the smallest data model that supports it</w:t>
      </w:r>
    </w:p>
    <w:p w14:paraId="552C09D8" w14:textId="77777777" w:rsidR="0055376F" w:rsidRDefault="00000000">
      <w:pPr>
        <w:pStyle w:val="ListParagraph"/>
        <w:numPr>
          <w:ilvl w:val="0"/>
          <w:numId w:val="2"/>
        </w:numPr>
        <w:spacing w:after="80"/>
      </w:pPr>
      <w:r>
        <w:rPr>
          <w:sz w:val="21"/>
          <w:szCs w:val="21"/>
        </w:rPr>
        <w:t>Days 1–30: audit every manual report in use today — what it's for, who relies on it</w:t>
      </w:r>
    </w:p>
    <w:p w14:paraId="15829583" w14:textId="77777777" w:rsidR="0055376F" w:rsidRDefault="00000000">
      <w:pPr>
        <w:pStyle w:val="ListParagraph"/>
        <w:numPr>
          <w:ilvl w:val="0"/>
          <w:numId w:val="2"/>
        </w:numPr>
        <w:spacing w:after="80"/>
      </w:pPr>
      <w:r>
        <w:rPr>
          <w:sz w:val="21"/>
          <w:szCs w:val="21"/>
        </w:rPr>
        <w:t>Days 30–60: stand up one shared dashboard for that highest-leverage decision, even sourced from manual pulls at first, to prove value before automating</w:t>
      </w:r>
    </w:p>
    <w:p w14:paraId="4DAE8799" w14:textId="77777777" w:rsidR="0055376F" w:rsidRDefault="00000000">
      <w:pPr>
        <w:pStyle w:val="ListParagraph"/>
        <w:numPr>
          <w:ilvl w:val="0"/>
          <w:numId w:val="2"/>
        </w:numPr>
        <w:spacing w:after="100"/>
      </w:pPr>
      <w:r>
        <w:rPr>
          <w:sz w:val="21"/>
          <w:szCs w:val="21"/>
        </w:rPr>
        <w:t>Days 60–90: automate the pipeline behind that first win, retire its manual version, and use the proof point to earn support for expanding scope</w:t>
      </w:r>
    </w:p>
    <w:p w14:paraId="3B94DD96" w14:textId="77777777" w:rsidR="0055376F" w:rsidRDefault="00000000">
      <w:pPr>
        <w:spacing w:after="140"/>
      </w:pPr>
      <w:r>
        <w:rPr>
          <w:b/>
          <w:bCs/>
          <w:sz w:val="21"/>
          <w:szCs w:val="21"/>
        </w:rPr>
        <w:t>Why</w:t>
      </w:r>
      <w:proofErr w:type="gramStart"/>
      <w:r>
        <w:rPr>
          <w:b/>
          <w:bCs/>
          <w:sz w:val="21"/>
          <w:szCs w:val="21"/>
        </w:rPr>
        <w:t xml:space="preserve">:  </w:t>
      </w:r>
      <w:r>
        <w:rPr>
          <w:sz w:val="21"/>
          <w:szCs w:val="21"/>
        </w:rPr>
        <w:t>Success</w:t>
      </w:r>
      <w:proofErr w:type="gramEnd"/>
      <w:r>
        <w:rPr>
          <w:sz w:val="21"/>
          <w:szCs w:val="21"/>
        </w:rPr>
        <w:t xml:space="preserve"> metric: hours of manual reporting eliminated, and more importantly, whether leaders are </w:t>
      </w:r>
      <w:proofErr w:type="gramStart"/>
      <w:r>
        <w:rPr>
          <w:sz w:val="21"/>
          <w:szCs w:val="21"/>
        </w:rPr>
        <w:t>actually using</w:t>
      </w:r>
      <w:proofErr w:type="gramEnd"/>
      <w:r>
        <w:rPr>
          <w:sz w:val="21"/>
          <w:szCs w:val="21"/>
        </w:rPr>
        <w:t xml:space="preserve"> the dashboard to decide things.</w:t>
      </w:r>
    </w:p>
    <w:p w14:paraId="590597A3" w14:textId="77777777" w:rsidR="0055376F" w:rsidRDefault="00000000">
      <w:pPr>
        <w:spacing w:after="220"/>
      </w:pPr>
      <w:r>
        <w:rPr>
          <w:b/>
          <w:bCs/>
          <w:color w:val="1B2A6B"/>
          <w:sz w:val="21"/>
          <w:szCs w:val="21"/>
        </w:rPr>
        <w:t xml:space="preserve">In practice:  </w:t>
      </w:r>
      <w:r>
        <w:rPr>
          <w:color w:val="222222"/>
          <w:sz w:val="21"/>
          <w:szCs w:val="21"/>
        </w:rPr>
        <w:t>The Organizational Assessment Discovery Intake I already built maps closely to this Days 1–30 audit — org chart across Sales, Product, Delivery, Operations, Creative, Automation; existing SOPs and scoping templates; margin by service line; examples of inconsistent delivery. That means starting exactly where that document starts, since the scope of what week one needs to produce is already worked out.</w:t>
      </w:r>
    </w:p>
    <w:p w14:paraId="46972161" w14:textId="77777777" w:rsidR="0055376F" w:rsidRDefault="00000000">
      <w:pPr>
        <w:spacing w:before="160" w:after="100"/>
      </w:pPr>
      <w:r>
        <w:rPr>
          <w:b/>
          <w:bCs/>
          <w:color w:val="1B2A6B"/>
          <w:sz w:val="24"/>
          <w:szCs w:val="24"/>
        </w:rPr>
        <w:t>C — The Shift to a Product Model: Repricing Under Churn Risk</w:t>
      </w:r>
    </w:p>
    <w:p w14:paraId="2EE865EC" w14:textId="77777777" w:rsidR="0055376F" w:rsidRDefault="00000000">
      <w:pPr>
        <w:spacing w:after="80"/>
      </w:pPr>
      <w:r>
        <w:rPr>
          <w:b/>
          <w:bCs/>
          <w:sz w:val="21"/>
          <w:szCs w:val="21"/>
        </w:rPr>
        <w:t>Situation</w:t>
      </w:r>
      <w:proofErr w:type="gramStart"/>
      <w:r>
        <w:rPr>
          <w:b/>
          <w:bCs/>
          <w:sz w:val="21"/>
          <w:szCs w:val="21"/>
        </w:rPr>
        <w:t xml:space="preserve">:  </w:t>
      </w:r>
      <w:r>
        <w:rPr>
          <w:sz w:val="21"/>
          <w:szCs w:val="21"/>
        </w:rPr>
        <w:t>A</w:t>
      </w:r>
      <w:proofErr w:type="gramEnd"/>
      <w:r>
        <w:rPr>
          <w:sz w:val="21"/>
          <w:szCs w:val="21"/>
        </w:rPr>
        <w:t xml:space="preserve"> decision to reprice or repackage a thin-margin, well-liked service line runs into Sales flagging that two major clients may churn.</w:t>
      </w:r>
    </w:p>
    <w:p w14:paraId="249AE6DA" w14:textId="77777777" w:rsidR="0055376F" w:rsidRDefault="00000000">
      <w:pPr>
        <w:spacing w:after="60"/>
      </w:pPr>
      <w:r>
        <w:rPr>
          <w:b/>
          <w:bCs/>
          <w:sz w:val="21"/>
          <w:szCs w:val="21"/>
        </w:rPr>
        <w:t>Approach:</w:t>
      </w:r>
    </w:p>
    <w:p w14:paraId="6597040C" w14:textId="77777777" w:rsidR="0055376F" w:rsidRDefault="00000000">
      <w:pPr>
        <w:pStyle w:val="ListParagraph"/>
        <w:numPr>
          <w:ilvl w:val="0"/>
          <w:numId w:val="2"/>
        </w:numPr>
        <w:spacing w:after="80"/>
      </w:pPr>
      <w:r>
        <w:rPr>
          <w:sz w:val="21"/>
          <w:szCs w:val="21"/>
        </w:rPr>
        <w:t>Keep the underlying decision largely the same — letting two accounts veto a structural fix sets a precedent, and the margin problem doesn't disappear because of one objection</w:t>
      </w:r>
    </w:p>
    <w:p w14:paraId="6D832BCE" w14:textId="77777777" w:rsidR="0055376F" w:rsidRDefault="00000000">
      <w:pPr>
        <w:pStyle w:val="ListParagraph"/>
        <w:numPr>
          <w:ilvl w:val="0"/>
          <w:numId w:val="2"/>
        </w:numPr>
        <w:spacing w:after="80"/>
      </w:pPr>
      <w:r>
        <w:rPr>
          <w:sz w:val="21"/>
          <w:szCs w:val="21"/>
        </w:rPr>
        <w:t>Change the sequencing and the offer, not the direction: press on whether the churn risk is tested or assumed</w:t>
      </w:r>
    </w:p>
    <w:p w14:paraId="5C3469CE" w14:textId="77777777" w:rsidR="0055376F" w:rsidRDefault="00000000">
      <w:pPr>
        <w:pStyle w:val="ListParagraph"/>
        <w:numPr>
          <w:ilvl w:val="0"/>
          <w:numId w:val="2"/>
        </w:numPr>
        <w:spacing w:after="80"/>
      </w:pPr>
      <w:r>
        <w:rPr>
          <w:sz w:val="21"/>
          <w:szCs w:val="21"/>
        </w:rPr>
        <w:t>Model the retention value of those two accounts against the margin bleed across the whole line</w:t>
      </w:r>
    </w:p>
    <w:p w14:paraId="61CBFA4C" w14:textId="77777777" w:rsidR="0055376F" w:rsidRDefault="00000000">
      <w:pPr>
        <w:pStyle w:val="ListParagraph"/>
        <w:numPr>
          <w:ilvl w:val="0"/>
          <w:numId w:val="2"/>
        </w:numPr>
        <w:spacing w:after="100"/>
      </w:pPr>
      <w:r>
        <w:rPr>
          <w:sz w:val="21"/>
          <w:szCs w:val="21"/>
        </w:rPr>
        <w:t>Consider a phased rollout or an alternative package for just those accounts, rather than reversing course for everyone</w:t>
      </w:r>
    </w:p>
    <w:p w14:paraId="694E161D" w14:textId="77777777" w:rsidR="0055376F" w:rsidRDefault="00000000">
      <w:pPr>
        <w:spacing w:after="240"/>
      </w:pPr>
      <w:r>
        <w:rPr>
          <w:b/>
          <w:bCs/>
          <w:sz w:val="21"/>
          <w:szCs w:val="21"/>
        </w:rPr>
        <w:t xml:space="preserve">Why:  </w:t>
      </w:r>
      <w:r>
        <w:rPr>
          <w:sz w:val="21"/>
          <w:szCs w:val="21"/>
        </w:rPr>
        <w:t>Only a genuinely catastrophic, well-evidenced risk with no viable alternative packaging would change the substance of the call, and even then, the answer is usually “phase it,” not “abandon it.”</w:t>
      </w:r>
    </w:p>
    <w:p w14:paraId="73B354F0" w14:textId="77777777" w:rsidR="0055376F" w:rsidRDefault="00000000">
      <w:pPr>
        <w:spacing w:before="160" w:after="100"/>
      </w:pPr>
      <w:r>
        <w:rPr>
          <w:b/>
          <w:bCs/>
          <w:color w:val="1B2A6B"/>
          <w:sz w:val="24"/>
          <w:szCs w:val="24"/>
        </w:rPr>
        <w:t xml:space="preserve">D — Urgency and Ownership: </w:t>
      </w:r>
      <w:proofErr w:type="gramStart"/>
      <w:r>
        <w:rPr>
          <w:b/>
          <w:bCs/>
          <w:color w:val="1B2A6B"/>
          <w:sz w:val="24"/>
          <w:szCs w:val="24"/>
        </w:rPr>
        <w:t>the</w:t>
      </w:r>
      <w:proofErr w:type="gramEnd"/>
      <w:r>
        <w:rPr>
          <w:b/>
          <w:bCs/>
          <w:color w:val="1B2A6B"/>
          <w:sz w:val="24"/>
          <w:szCs w:val="24"/>
        </w:rPr>
        <w:t xml:space="preserve"> Burned-Out Report Builder</w:t>
      </w:r>
    </w:p>
    <w:p w14:paraId="41CE6570" w14:textId="77777777" w:rsidR="0055376F" w:rsidRDefault="00000000">
      <w:pPr>
        <w:spacing w:after="80"/>
      </w:pPr>
      <w:r>
        <w:rPr>
          <w:b/>
          <w:bCs/>
          <w:sz w:val="21"/>
          <w:szCs w:val="21"/>
        </w:rPr>
        <w:t xml:space="preserve">Situation:  </w:t>
      </w:r>
      <w:r>
        <w:rPr>
          <w:sz w:val="21"/>
          <w:szCs w:val="21"/>
        </w:rPr>
        <w:t>A department lead has manually built the same six-hour client report every week for a year and wants it handed to IT to “just automate.”</w:t>
      </w:r>
    </w:p>
    <w:p w14:paraId="2616430B" w14:textId="77777777" w:rsidR="0055376F" w:rsidRDefault="00000000">
      <w:pPr>
        <w:spacing w:after="60"/>
      </w:pPr>
      <w:r>
        <w:rPr>
          <w:b/>
          <w:bCs/>
          <w:sz w:val="21"/>
          <w:szCs w:val="21"/>
        </w:rPr>
        <w:t>Approach:</w:t>
      </w:r>
    </w:p>
    <w:p w14:paraId="3F16D02B" w14:textId="77777777" w:rsidR="0055376F" w:rsidRDefault="00000000">
      <w:pPr>
        <w:pStyle w:val="ListParagraph"/>
        <w:numPr>
          <w:ilvl w:val="0"/>
          <w:numId w:val="2"/>
        </w:numPr>
        <w:spacing w:after="80"/>
      </w:pPr>
      <w:r>
        <w:rPr>
          <w:sz w:val="21"/>
          <w:szCs w:val="21"/>
        </w:rPr>
        <w:t>Don't route straight to a ticket — sit with them and walk the report line by line: what decision it drives, who uses it, what's templated versus judgment-based</w:t>
      </w:r>
    </w:p>
    <w:p w14:paraId="693CCCEC" w14:textId="77777777" w:rsidR="0055376F" w:rsidRDefault="00000000">
      <w:pPr>
        <w:pStyle w:val="ListParagraph"/>
        <w:numPr>
          <w:ilvl w:val="0"/>
          <w:numId w:val="2"/>
        </w:numPr>
        <w:spacing w:after="80"/>
      </w:pPr>
      <w:r>
        <w:rPr>
          <w:sz w:val="21"/>
          <w:szCs w:val="21"/>
        </w:rPr>
        <w:t xml:space="preserve">Identify the fastest relief first: cut what's unused, flag what's already automatable, isolate the smaller piece that </w:t>
      </w:r>
      <w:proofErr w:type="gramStart"/>
      <w:r>
        <w:rPr>
          <w:sz w:val="21"/>
          <w:szCs w:val="21"/>
        </w:rPr>
        <w:t>actually needs</w:t>
      </w:r>
      <w:proofErr w:type="gramEnd"/>
      <w:r>
        <w:rPr>
          <w:sz w:val="21"/>
          <w:szCs w:val="21"/>
        </w:rPr>
        <w:t xml:space="preserve"> judgment</w:t>
      </w:r>
    </w:p>
    <w:p w14:paraId="5C8E68A0" w14:textId="77777777" w:rsidR="0055376F" w:rsidRDefault="00000000">
      <w:pPr>
        <w:pStyle w:val="ListParagraph"/>
        <w:numPr>
          <w:ilvl w:val="0"/>
          <w:numId w:val="2"/>
        </w:numPr>
        <w:spacing w:after="80"/>
      </w:pPr>
      <w:r>
        <w:rPr>
          <w:sz w:val="21"/>
          <w:szCs w:val="21"/>
        </w:rPr>
        <w:t>Ask the harder question this exposes: why did this go unfixed for a year — no channel to escalate, no owner for eliminating toil, no capacity?</w:t>
      </w:r>
    </w:p>
    <w:p w14:paraId="5E50BBBB" w14:textId="77777777" w:rsidR="0055376F" w:rsidRDefault="00000000">
      <w:pPr>
        <w:pStyle w:val="ListParagraph"/>
        <w:numPr>
          <w:ilvl w:val="0"/>
          <w:numId w:val="2"/>
        </w:numPr>
        <w:spacing w:after="100"/>
      </w:pPr>
      <w:r>
        <w:rPr>
          <w:sz w:val="21"/>
          <w:szCs w:val="21"/>
        </w:rPr>
        <w:t>Leave with two things: a properly scoped ticket, and an immediate reduction in their load this week, before any engineering work ships</w:t>
      </w:r>
    </w:p>
    <w:p w14:paraId="5A3EED91" w14:textId="77777777" w:rsidR="0055376F" w:rsidRDefault="00000000">
      <w:pPr>
        <w:spacing w:after="240"/>
      </w:pPr>
      <w:r>
        <w:rPr>
          <w:b/>
          <w:bCs/>
          <w:sz w:val="21"/>
          <w:szCs w:val="21"/>
        </w:rPr>
        <w:t>Why</w:t>
      </w:r>
      <w:proofErr w:type="gramStart"/>
      <w:r>
        <w:rPr>
          <w:b/>
          <w:bCs/>
          <w:sz w:val="21"/>
          <w:szCs w:val="21"/>
        </w:rPr>
        <w:t xml:space="preserve">:  </w:t>
      </w:r>
      <w:r>
        <w:rPr>
          <w:sz w:val="21"/>
          <w:szCs w:val="21"/>
        </w:rPr>
        <w:t>The</w:t>
      </w:r>
      <w:proofErr w:type="gramEnd"/>
      <w:r>
        <w:rPr>
          <w:sz w:val="21"/>
          <w:szCs w:val="21"/>
        </w:rPr>
        <w:t xml:space="preserve"> test isn't about automation — it's about whether the instance gets fixed or the system that </w:t>
      </w:r>
      <w:proofErr w:type="gramStart"/>
      <w:r>
        <w:rPr>
          <w:sz w:val="21"/>
          <w:szCs w:val="21"/>
        </w:rPr>
        <w:t>let</w:t>
      </w:r>
      <w:proofErr w:type="gramEnd"/>
      <w:r>
        <w:rPr>
          <w:sz w:val="21"/>
          <w:szCs w:val="21"/>
        </w:rPr>
        <w:t xml:space="preserve"> the instance persist for a year.</w:t>
      </w:r>
    </w:p>
    <w:p w14:paraId="3B2CBE73" w14:textId="77777777" w:rsidR="0055376F" w:rsidRDefault="00000000">
      <w:pPr>
        <w:spacing w:before="160" w:after="100"/>
      </w:pPr>
      <w:r>
        <w:rPr>
          <w:b/>
          <w:bCs/>
          <w:color w:val="1B2A6B"/>
          <w:sz w:val="24"/>
          <w:szCs w:val="24"/>
        </w:rPr>
        <w:t>E — Leadership Capacity: Zero Budget, Zero Headcount</w:t>
      </w:r>
    </w:p>
    <w:p w14:paraId="3E931566" w14:textId="77777777" w:rsidR="0055376F" w:rsidRDefault="00000000">
      <w:pPr>
        <w:spacing w:after="80"/>
      </w:pPr>
      <w:r>
        <w:rPr>
          <w:b/>
          <w:bCs/>
          <w:sz w:val="21"/>
          <w:szCs w:val="21"/>
        </w:rPr>
        <w:t>Situation</w:t>
      </w:r>
      <w:proofErr w:type="gramStart"/>
      <w:r>
        <w:rPr>
          <w:b/>
          <w:bCs/>
          <w:sz w:val="21"/>
          <w:szCs w:val="21"/>
        </w:rPr>
        <w:t xml:space="preserve">:  </w:t>
      </w:r>
      <w:r>
        <w:rPr>
          <w:sz w:val="21"/>
          <w:szCs w:val="21"/>
        </w:rPr>
        <w:t>No</w:t>
      </w:r>
      <w:proofErr w:type="gramEnd"/>
      <w:r>
        <w:rPr>
          <w:sz w:val="21"/>
          <w:szCs w:val="21"/>
        </w:rPr>
        <w:t xml:space="preserve"> new budget or headcount for six months, but real operational ownership still needs to come off leadership's plate.</w:t>
      </w:r>
    </w:p>
    <w:p w14:paraId="2BA8B8CE" w14:textId="77777777" w:rsidR="0055376F" w:rsidRDefault="00000000">
      <w:pPr>
        <w:spacing w:after="60"/>
      </w:pPr>
      <w:r>
        <w:rPr>
          <w:b/>
          <w:bCs/>
          <w:sz w:val="21"/>
          <w:szCs w:val="21"/>
        </w:rPr>
        <w:t>Approach:</w:t>
      </w:r>
    </w:p>
    <w:p w14:paraId="02C68D02" w14:textId="77777777" w:rsidR="0055376F" w:rsidRDefault="00000000">
      <w:pPr>
        <w:pStyle w:val="ListParagraph"/>
        <w:numPr>
          <w:ilvl w:val="0"/>
          <w:numId w:val="2"/>
        </w:numPr>
        <w:spacing w:after="80"/>
      </w:pPr>
      <w:r>
        <w:rPr>
          <w:sz w:val="21"/>
          <w:szCs w:val="21"/>
        </w:rPr>
        <w:lastRenderedPageBreak/>
        <w:t>The lever becomes redeployment, not addition — free existing capacity by killing or automating low-value recurring work rather than asking for more people</w:t>
      </w:r>
    </w:p>
    <w:p w14:paraId="161C34DC" w14:textId="77777777" w:rsidR="0055376F" w:rsidRDefault="00000000">
      <w:pPr>
        <w:pStyle w:val="ListParagraph"/>
        <w:numPr>
          <w:ilvl w:val="0"/>
          <w:numId w:val="2"/>
        </w:numPr>
        <w:spacing w:after="80"/>
      </w:pPr>
      <w:r>
        <w:rPr>
          <w:sz w:val="21"/>
          <w:szCs w:val="21"/>
        </w:rPr>
        <w:t>Build decision rights and escalation paths so issues resolve without leadership being pulled in</w:t>
      </w:r>
    </w:p>
    <w:p w14:paraId="53249911" w14:textId="77777777" w:rsidR="0055376F" w:rsidRDefault="00000000">
      <w:pPr>
        <w:pStyle w:val="ListParagraph"/>
        <w:numPr>
          <w:ilvl w:val="0"/>
          <w:numId w:val="2"/>
        </w:numPr>
        <w:spacing w:after="80"/>
      </w:pPr>
      <w:r>
        <w:rPr>
          <w:sz w:val="21"/>
          <w:szCs w:val="21"/>
        </w:rPr>
        <w:t>Sequence the cheapest wins first — cadence, RACI clarity, a dashboard from tools already in place — so the model proves itself before any resourcing ask</w:t>
      </w:r>
    </w:p>
    <w:p w14:paraId="3E10F40C" w14:textId="77777777" w:rsidR="0055376F" w:rsidRDefault="00000000">
      <w:pPr>
        <w:pStyle w:val="ListParagraph"/>
        <w:numPr>
          <w:ilvl w:val="0"/>
          <w:numId w:val="2"/>
        </w:numPr>
        <w:spacing w:after="100"/>
      </w:pPr>
      <w:r>
        <w:rPr>
          <w:sz w:val="21"/>
          <w:szCs w:val="21"/>
        </w:rPr>
        <w:t xml:space="preserve">When it's time to go back </w:t>
      </w:r>
      <w:proofErr w:type="gramStart"/>
      <w:r>
        <w:rPr>
          <w:sz w:val="21"/>
          <w:szCs w:val="21"/>
        </w:rPr>
        <w:t>for</w:t>
      </w:r>
      <w:proofErr w:type="gramEnd"/>
      <w:r>
        <w:rPr>
          <w:sz w:val="21"/>
          <w:szCs w:val="21"/>
        </w:rPr>
        <w:t xml:space="preserve"> budget, bring a data-backed case built on what the quick wins already proved</w:t>
      </w:r>
    </w:p>
    <w:p w14:paraId="2B6F4627" w14:textId="77777777" w:rsidR="0055376F" w:rsidRDefault="00000000">
      <w:pPr>
        <w:spacing w:after="240"/>
      </w:pPr>
      <w:r>
        <w:rPr>
          <w:b/>
          <w:bCs/>
          <w:sz w:val="21"/>
          <w:szCs w:val="21"/>
        </w:rPr>
        <w:t>Why</w:t>
      </w:r>
      <w:proofErr w:type="gramStart"/>
      <w:r>
        <w:rPr>
          <w:b/>
          <w:bCs/>
          <w:sz w:val="21"/>
          <w:szCs w:val="21"/>
        </w:rPr>
        <w:t xml:space="preserve">:  </w:t>
      </w:r>
      <w:r>
        <w:rPr>
          <w:sz w:val="21"/>
          <w:szCs w:val="21"/>
        </w:rPr>
        <w:t>Capacity</w:t>
      </w:r>
      <w:proofErr w:type="gramEnd"/>
      <w:r>
        <w:rPr>
          <w:sz w:val="21"/>
          <w:szCs w:val="21"/>
        </w:rPr>
        <w:t xml:space="preserve"> </w:t>
      </w:r>
      <w:proofErr w:type="gramStart"/>
      <w:r>
        <w:rPr>
          <w:sz w:val="21"/>
          <w:szCs w:val="21"/>
        </w:rPr>
        <w:t>constraints</w:t>
      </w:r>
      <w:proofErr w:type="gramEnd"/>
      <w:r>
        <w:rPr>
          <w:sz w:val="21"/>
          <w:szCs w:val="21"/>
        </w:rPr>
        <w:t xml:space="preserve"> force discipline about what's </w:t>
      </w:r>
      <w:proofErr w:type="gramStart"/>
      <w:r>
        <w:rPr>
          <w:sz w:val="21"/>
          <w:szCs w:val="21"/>
        </w:rPr>
        <w:t>actually worth</w:t>
      </w:r>
      <w:proofErr w:type="gramEnd"/>
      <w:r>
        <w:rPr>
          <w:sz w:val="21"/>
          <w:szCs w:val="21"/>
        </w:rPr>
        <w:t xml:space="preserve"> automating versus what's worth cutting outright.</w:t>
      </w:r>
    </w:p>
    <w:p w14:paraId="66E31F2E" w14:textId="77777777" w:rsidR="0055376F" w:rsidRDefault="00000000">
      <w:pPr>
        <w:spacing w:before="160" w:after="100"/>
      </w:pPr>
      <w:r>
        <w:rPr>
          <w:b/>
          <w:bCs/>
          <w:color w:val="1B2A6B"/>
          <w:sz w:val="24"/>
          <w:szCs w:val="24"/>
        </w:rPr>
        <w:t xml:space="preserve">F — Getting Specific: </w:t>
      </w:r>
      <w:proofErr w:type="gramStart"/>
      <w:r>
        <w:rPr>
          <w:b/>
          <w:bCs/>
          <w:color w:val="1B2A6B"/>
          <w:sz w:val="24"/>
          <w:szCs w:val="24"/>
        </w:rPr>
        <w:t>the</w:t>
      </w:r>
      <w:proofErr w:type="gramEnd"/>
      <w:r>
        <w:rPr>
          <w:b/>
          <w:bCs/>
          <w:color w:val="1B2A6B"/>
          <w:sz w:val="24"/>
          <w:szCs w:val="24"/>
        </w:rPr>
        <w:t xml:space="preserve"> Paid-Media Efficiency Read</w:t>
      </w:r>
    </w:p>
    <w:p w14:paraId="32301FD2" w14:textId="77777777" w:rsidR="0055376F" w:rsidRDefault="00000000">
      <w:pPr>
        <w:spacing w:after="80"/>
      </w:pPr>
      <w:r>
        <w:rPr>
          <w:b/>
          <w:bCs/>
          <w:sz w:val="21"/>
          <w:szCs w:val="21"/>
        </w:rPr>
        <w:t>Situation</w:t>
      </w:r>
      <w:proofErr w:type="gramStart"/>
      <w:r>
        <w:rPr>
          <w:b/>
          <w:bCs/>
          <w:sz w:val="21"/>
          <w:szCs w:val="21"/>
        </w:rPr>
        <w:t xml:space="preserve">:  </w:t>
      </w:r>
      <w:r>
        <w:rPr>
          <w:sz w:val="21"/>
          <w:szCs w:val="21"/>
        </w:rPr>
        <w:t>Thirty</w:t>
      </w:r>
      <w:proofErr w:type="gramEnd"/>
      <w:r>
        <w:rPr>
          <w:sz w:val="21"/>
          <w:szCs w:val="21"/>
        </w:rPr>
        <w:t xml:space="preserve"> days in, the paid-performance line (paid search, paid social, Amazon advertising) delivers solid results but thin margin, and the delivery model may carry more capacity and manual effort than it needs.</w:t>
      </w:r>
    </w:p>
    <w:p w14:paraId="7B419BA5" w14:textId="77777777" w:rsidR="0055376F" w:rsidRDefault="00000000">
      <w:pPr>
        <w:spacing w:after="60"/>
      </w:pPr>
      <w:r>
        <w:rPr>
          <w:b/>
          <w:bCs/>
          <w:sz w:val="21"/>
          <w:szCs w:val="21"/>
        </w:rPr>
        <w:t>Approach:</w:t>
      </w:r>
    </w:p>
    <w:p w14:paraId="1EFCF969" w14:textId="77777777" w:rsidR="0055376F" w:rsidRDefault="00000000">
      <w:pPr>
        <w:pStyle w:val="ListParagraph"/>
        <w:numPr>
          <w:ilvl w:val="0"/>
          <w:numId w:val="2"/>
        </w:numPr>
        <w:spacing w:after="80"/>
      </w:pPr>
      <w:r>
        <w:rPr>
          <w:sz w:val="21"/>
          <w:szCs w:val="21"/>
        </w:rPr>
        <w:t>Cost-to-serve and labor hours per account, from time-tracking or reconstructed task logs</w:t>
      </w:r>
    </w:p>
    <w:p w14:paraId="69F8FD58" w14:textId="77777777" w:rsidR="0055376F" w:rsidRDefault="00000000">
      <w:pPr>
        <w:pStyle w:val="ListParagraph"/>
        <w:numPr>
          <w:ilvl w:val="0"/>
          <w:numId w:val="2"/>
        </w:numPr>
        <w:spacing w:after="80"/>
      </w:pPr>
      <w:r>
        <w:rPr>
          <w:sz w:val="21"/>
          <w:szCs w:val="21"/>
        </w:rPr>
        <w:t>Ratio of strategic/billable work to manual repeatable tasks (reporting, campaign builds, QA) per account team</w:t>
      </w:r>
    </w:p>
    <w:p w14:paraId="101C0EC2" w14:textId="77777777" w:rsidR="0055376F" w:rsidRDefault="00000000">
      <w:pPr>
        <w:pStyle w:val="ListParagraph"/>
        <w:numPr>
          <w:ilvl w:val="0"/>
          <w:numId w:val="2"/>
        </w:numPr>
        <w:spacing w:after="80"/>
      </w:pPr>
      <w:r>
        <w:rPr>
          <w:sz w:val="21"/>
          <w:szCs w:val="21"/>
        </w:rPr>
        <w:t>Utilization by role — are people at capacity on high-value work, or consumed by low-value repeatable tasks</w:t>
      </w:r>
    </w:p>
    <w:p w14:paraId="1F6EF0A3" w14:textId="77777777" w:rsidR="0055376F" w:rsidRDefault="00000000">
      <w:pPr>
        <w:pStyle w:val="ListParagraph"/>
        <w:numPr>
          <w:ilvl w:val="0"/>
          <w:numId w:val="2"/>
        </w:numPr>
        <w:spacing w:after="80"/>
      </w:pPr>
      <w:r>
        <w:rPr>
          <w:sz w:val="21"/>
          <w:szCs w:val="21"/>
        </w:rPr>
        <w:t>Margin by account size/tier, and tooling coverage — what percentage of setup, reporting, and optimization is already automated</w:t>
      </w:r>
    </w:p>
    <w:p w14:paraId="7E124D9D" w14:textId="77777777" w:rsidR="0055376F" w:rsidRDefault="00000000">
      <w:pPr>
        <w:pStyle w:val="ListParagraph"/>
        <w:numPr>
          <w:ilvl w:val="0"/>
          <w:numId w:val="2"/>
        </w:numPr>
        <w:spacing w:after="100"/>
      </w:pPr>
      <w:r>
        <w:rPr>
          <w:sz w:val="21"/>
          <w:szCs w:val="21"/>
        </w:rPr>
        <w:t>Diagnose workflow vs. staffing vs. pricing, in that order: workflow issues are fixable through process and automation alone; staffing issues need mix rebalancing, not price; pricing issues only get addressed once workflow and staffing are already optimized</w:t>
      </w:r>
    </w:p>
    <w:p w14:paraId="1F388D47" w14:textId="77777777" w:rsidR="0055376F" w:rsidRDefault="00000000">
      <w:pPr>
        <w:spacing w:after="260"/>
      </w:pPr>
      <w:r>
        <w:rPr>
          <w:b/>
          <w:bCs/>
          <w:sz w:val="21"/>
          <w:szCs w:val="21"/>
        </w:rPr>
        <w:t xml:space="preserve">Why:  </w:t>
      </w:r>
      <w:r>
        <w:rPr>
          <w:sz w:val="21"/>
          <w:szCs w:val="21"/>
        </w:rPr>
        <w:t xml:space="preserve">First 30–60 days: pilot automation on the single highest-volume manual task, test a role-mix rebalance on one account team, and benchmark two or three accounts to isolate where the margin is </w:t>
      </w:r>
      <w:proofErr w:type="gramStart"/>
      <w:r>
        <w:rPr>
          <w:sz w:val="21"/>
          <w:szCs w:val="21"/>
        </w:rPr>
        <w:t>actually bleeding</w:t>
      </w:r>
      <w:proofErr w:type="gramEnd"/>
      <w:r>
        <w:rPr>
          <w:sz w:val="21"/>
          <w:szCs w:val="21"/>
        </w:rPr>
        <w:t xml:space="preserve"> before changing anything for the whole line.</w:t>
      </w:r>
    </w:p>
    <w:p w14:paraId="57909F67" w14:textId="77777777" w:rsidR="0055376F" w:rsidRDefault="00000000">
      <w:pPr>
        <w:pStyle w:val="Heading1"/>
        <w:pBdr>
          <w:bottom w:val="single" w:sz="8" w:space="4" w:color="E14B4B"/>
        </w:pBdr>
        <w:spacing w:before="400" w:after="160"/>
      </w:pPr>
      <w:r>
        <w:rPr>
          <w:b/>
          <w:bCs/>
          <w:color w:val="E14B4B"/>
          <w:sz w:val="30"/>
          <w:szCs w:val="30"/>
        </w:rPr>
        <w:t>Deep-Dive: Monetization Strategy for Service Lines</w:t>
      </w:r>
    </w:p>
    <w:p w14:paraId="62401E9D" w14:textId="77777777" w:rsidR="0055376F" w:rsidRDefault="00000000">
      <w:pPr>
        <w:spacing w:after="180"/>
      </w:pPr>
      <w:r>
        <w:rPr>
          <w:sz w:val="21"/>
          <w:szCs w:val="21"/>
        </w:rPr>
        <w:t>The extra layer underneath commercialization and repricing: the actual menu of pricing models, what's changing about them right now because of AI, and a real-world example of how one agency prices today.</w:t>
      </w:r>
    </w:p>
    <w:p w14:paraId="50E351F6" w14:textId="77777777" w:rsidR="0055376F" w:rsidRDefault="00000000">
      <w:pPr>
        <w:pStyle w:val="Heading2"/>
        <w:spacing w:before="200" w:after="100"/>
      </w:pPr>
      <w:r>
        <w:rPr>
          <w:b/>
          <w:bCs/>
          <w:color w:val="8BC34A"/>
          <w:sz w:val="24"/>
          <w:szCs w:val="24"/>
        </w:rPr>
        <w:t>The Menu</w:t>
      </w:r>
    </w:p>
    <w:p w14:paraId="3BCC3DE8" w14:textId="77777777" w:rsidR="0055376F" w:rsidRDefault="00000000">
      <w:pPr>
        <w:spacing w:after="120"/>
      </w:pPr>
      <w:r>
        <w:rPr>
          <w:b/>
          <w:bCs/>
          <w:sz w:val="21"/>
          <w:szCs w:val="21"/>
        </w:rPr>
        <w:t xml:space="preserve">Hourly / time-and-materials:  </w:t>
      </w:r>
      <w:r>
        <w:rPr>
          <w:sz w:val="21"/>
          <w:szCs w:val="21"/>
        </w:rPr>
        <w:t>$100–$300/</w:t>
      </w:r>
      <w:proofErr w:type="spellStart"/>
      <w:r>
        <w:rPr>
          <w:sz w:val="21"/>
          <w:szCs w:val="21"/>
        </w:rPr>
        <w:t>hr</w:t>
      </w:r>
      <w:proofErr w:type="spellEnd"/>
      <w:r>
        <w:rPr>
          <w:sz w:val="21"/>
          <w:szCs w:val="21"/>
        </w:rPr>
        <w:t xml:space="preserve"> depending on seniority. Maximum flexibility, zero revenue predictability, and it structurally punishes speed — the faster the work gets done, the less the agency earns. Fine for ambiguous, one-off work; the wrong foundation for anything AI is accelerating.</w:t>
      </w:r>
    </w:p>
    <w:p w14:paraId="256FCA92" w14:textId="77777777" w:rsidR="0055376F" w:rsidRDefault="00000000">
      <w:pPr>
        <w:spacing w:after="120"/>
      </w:pPr>
      <w:r>
        <w:rPr>
          <w:b/>
          <w:bCs/>
          <w:sz w:val="21"/>
          <w:szCs w:val="21"/>
        </w:rPr>
        <w:t xml:space="preserve">Monthly retainer:  </w:t>
      </w:r>
      <w:r>
        <w:rPr>
          <w:sz w:val="21"/>
          <w:szCs w:val="21"/>
        </w:rPr>
        <w:t xml:space="preserve">$3,000–$25,000+/mo. Still how </w:t>
      </w:r>
      <w:proofErr w:type="gramStart"/>
      <w:r>
        <w:rPr>
          <w:sz w:val="21"/>
          <w:szCs w:val="21"/>
        </w:rPr>
        <w:t>the majority of</w:t>
      </w:r>
      <w:proofErr w:type="gramEnd"/>
      <w:r>
        <w:rPr>
          <w:sz w:val="21"/>
          <w:szCs w:val="21"/>
        </w:rPr>
        <w:t xml:space="preserve"> agency relationships are priced — predictable for both sides, but prone to scope creep and to paying full price in slow months. Best fit for ongoing, harder-to-isolate work like SEO or brand.</w:t>
      </w:r>
    </w:p>
    <w:p w14:paraId="4CBAFBFC" w14:textId="77777777" w:rsidR="0055376F" w:rsidRDefault="00000000">
      <w:pPr>
        <w:spacing w:after="120"/>
      </w:pPr>
      <w:r>
        <w:rPr>
          <w:b/>
          <w:bCs/>
          <w:sz w:val="21"/>
          <w:szCs w:val="21"/>
        </w:rPr>
        <w:t xml:space="preserve">Project-based / fixed fee:  </w:t>
      </w:r>
      <w:r>
        <w:rPr>
          <w:sz w:val="21"/>
          <w:szCs w:val="21"/>
        </w:rPr>
        <w:t xml:space="preserve">$5,000–$100,000+ per project. Clear budget and deliverables up front; only works with a tightly scoped SOW, or change orders eat the margin back. Good fit for one-time initiatives — a rebrand, a site </w:t>
      </w:r>
      <w:proofErr w:type="gramStart"/>
      <w:r>
        <w:rPr>
          <w:sz w:val="21"/>
          <w:szCs w:val="21"/>
        </w:rPr>
        <w:t>rebuild</w:t>
      </w:r>
      <w:proofErr w:type="gramEnd"/>
      <w:r>
        <w:rPr>
          <w:sz w:val="21"/>
          <w:szCs w:val="21"/>
        </w:rPr>
        <w:t>, a campaign launch.</w:t>
      </w:r>
    </w:p>
    <w:p w14:paraId="3C61CE2F" w14:textId="77777777" w:rsidR="0055376F" w:rsidRDefault="00000000">
      <w:pPr>
        <w:spacing w:after="120"/>
      </w:pPr>
      <w:r>
        <w:rPr>
          <w:b/>
          <w:bCs/>
          <w:sz w:val="21"/>
          <w:szCs w:val="21"/>
        </w:rPr>
        <w:t xml:space="preserve">Performance / outcome-based:  </w:t>
      </w:r>
      <w:r>
        <w:rPr>
          <w:sz w:val="21"/>
          <w:szCs w:val="21"/>
        </w:rPr>
        <w:t xml:space="preserve">Often 10–20% of ad </w:t>
      </w:r>
      <w:proofErr w:type="gramStart"/>
      <w:r>
        <w:rPr>
          <w:sz w:val="21"/>
          <w:szCs w:val="21"/>
        </w:rPr>
        <w:t>spend</w:t>
      </w:r>
      <w:proofErr w:type="gramEnd"/>
      <w:r>
        <w:rPr>
          <w:sz w:val="21"/>
          <w:szCs w:val="21"/>
        </w:rPr>
        <w:t xml:space="preserve"> or tied to cost-per-acquisition. Aligns incentives directly with client results and commands a premium when it </w:t>
      </w:r>
      <w:proofErr w:type="gramStart"/>
      <w:r>
        <w:rPr>
          <w:sz w:val="21"/>
          <w:szCs w:val="21"/>
        </w:rPr>
        <w:t>works, but</w:t>
      </w:r>
      <w:proofErr w:type="gramEnd"/>
      <w:r>
        <w:rPr>
          <w:sz w:val="21"/>
          <w:szCs w:val="21"/>
        </w:rPr>
        <w:t xml:space="preserve"> needs clean attribution and a channel where cause-and-effect is legible — paid search and paid social are the classic fit, brand and SEO are not.</w:t>
      </w:r>
    </w:p>
    <w:p w14:paraId="0F2FC089" w14:textId="77777777" w:rsidR="0055376F" w:rsidRDefault="00000000">
      <w:pPr>
        <w:spacing w:after="120"/>
      </w:pPr>
      <w:r>
        <w:rPr>
          <w:b/>
          <w:bCs/>
          <w:sz w:val="21"/>
          <w:szCs w:val="21"/>
        </w:rPr>
        <w:t>Value-based</w:t>
      </w:r>
      <w:proofErr w:type="gramStart"/>
      <w:r>
        <w:rPr>
          <w:b/>
          <w:bCs/>
          <w:sz w:val="21"/>
          <w:szCs w:val="21"/>
        </w:rPr>
        <w:t xml:space="preserve">:  </w:t>
      </w:r>
      <w:r>
        <w:rPr>
          <w:sz w:val="21"/>
          <w:szCs w:val="21"/>
        </w:rPr>
        <w:t>A</w:t>
      </w:r>
      <w:proofErr w:type="gramEnd"/>
      <w:r>
        <w:rPr>
          <w:sz w:val="21"/>
          <w:szCs w:val="21"/>
        </w:rPr>
        <w:t xml:space="preserve"> share of the pipeline or revenue the work demonstrably generated. Highest ceiling, most sophisticated, and rare in practice — it requires mature closed-loop attribution and a </w:t>
      </w:r>
      <w:proofErr w:type="gramStart"/>
      <w:r>
        <w:rPr>
          <w:sz w:val="21"/>
          <w:szCs w:val="21"/>
        </w:rPr>
        <w:t>relationship mature enough</w:t>
      </w:r>
      <w:proofErr w:type="gramEnd"/>
      <w:r>
        <w:rPr>
          <w:sz w:val="21"/>
          <w:szCs w:val="21"/>
        </w:rPr>
        <w:t xml:space="preserve"> (12+ months) to trust the number.</w:t>
      </w:r>
    </w:p>
    <w:p w14:paraId="35FA0AFB" w14:textId="77777777" w:rsidR="0055376F" w:rsidRDefault="00000000">
      <w:pPr>
        <w:spacing w:after="180"/>
      </w:pPr>
      <w:r>
        <w:rPr>
          <w:b/>
          <w:bCs/>
          <w:sz w:val="21"/>
          <w:szCs w:val="21"/>
        </w:rPr>
        <w:t>Productized / tiered subscription</w:t>
      </w:r>
      <w:proofErr w:type="gramStart"/>
      <w:r>
        <w:rPr>
          <w:b/>
          <w:bCs/>
          <w:sz w:val="21"/>
          <w:szCs w:val="21"/>
        </w:rPr>
        <w:t xml:space="preserve">:  </w:t>
      </w:r>
      <w:r>
        <w:rPr>
          <w:sz w:val="21"/>
          <w:szCs w:val="21"/>
        </w:rPr>
        <w:t>A</w:t>
      </w:r>
      <w:proofErr w:type="gramEnd"/>
      <w:r>
        <w:rPr>
          <w:sz w:val="21"/>
          <w:szCs w:val="21"/>
        </w:rPr>
        <w:t xml:space="preserve"> fixed-scope, fixed-price package sold like a subscription rather than negotiated per client. Standardizing the workflow behind a package is the single biggest lever on margin: agencies that productize </w:t>
      </w:r>
      <w:r>
        <w:rPr>
          <w:sz w:val="21"/>
          <w:szCs w:val="21"/>
        </w:rPr>
        <w:lastRenderedPageBreak/>
        <w:t>commonly report moving from roughly 30% to 60% margin on that line, because the delivery cost drops even though the price doesn't.</w:t>
      </w:r>
    </w:p>
    <w:p w14:paraId="54841666" w14:textId="77777777" w:rsidR="0055376F" w:rsidRDefault="00000000">
      <w:pPr>
        <w:pStyle w:val="Heading2"/>
        <w:spacing w:before="200" w:after="100"/>
      </w:pPr>
      <w:r>
        <w:rPr>
          <w:b/>
          <w:bCs/>
          <w:color w:val="8BC34A"/>
          <w:sz w:val="24"/>
          <w:szCs w:val="24"/>
        </w:rPr>
        <w:t>What AI Is Actually Changing About This</w:t>
      </w:r>
    </w:p>
    <w:p w14:paraId="6A5C3160" w14:textId="77777777" w:rsidR="0055376F" w:rsidRDefault="00000000">
      <w:pPr>
        <w:spacing w:after="140"/>
      </w:pPr>
      <w:r>
        <w:rPr>
          <w:sz w:val="21"/>
          <w:szCs w:val="21"/>
        </w:rPr>
        <w:t>AI is compressing delivery time 3–4x on repeatable work, a direct threat to anything still billed hourly or by time-and-materials, because the same output now costs the agency a fraction as much to produce, and clients increasingly know it: roughly a third of agencies report clients explicitly asking for an “AI discount.” The industry's largest player is already moving away from this exposure — WPP now draws 20–25% of net sales from performance-linked fees and has publicly committed to phasing out time-and-materials billing.</w:t>
      </w:r>
    </w:p>
    <w:p w14:paraId="6DDF2669" w14:textId="77777777" w:rsidR="0055376F" w:rsidRDefault="00000000">
      <w:pPr>
        <w:spacing w:after="140"/>
      </w:pPr>
      <w:r>
        <w:rPr>
          <w:sz w:val="21"/>
          <w:szCs w:val="21"/>
        </w:rPr>
        <w:t xml:space="preserve">The useful mental model for deciding which service gets which pricing model: plot each offering on repeatability (how standardized is the delivery) against outcome-measurability (how cleanly can the result be attributed). High repeatability plus a </w:t>
      </w:r>
      <w:proofErr w:type="gramStart"/>
      <w:r>
        <w:rPr>
          <w:sz w:val="21"/>
          <w:szCs w:val="21"/>
        </w:rPr>
        <w:t>measurable outcome points</w:t>
      </w:r>
      <w:proofErr w:type="gramEnd"/>
      <w:r>
        <w:rPr>
          <w:sz w:val="21"/>
          <w:szCs w:val="21"/>
        </w:rPr>
        <w:t xml:space="preserve"> to a productized subscription; high repeatability with a </w:t>
      </w:r>
      <w:proofErr w:type="gramStart"/>
      <w:r>
        <w:rPr>
          <w:sz w:val="21"/>
          <w:szCs w:val="21"/>
        </w:rPr>
        <w:t>fuzzier outcome points</w:t>
      </w:r>
      <w:proofErr w:type="gramEnd"/>
      <w:r>
        <w:rPr>
          <w:sz w:val="21"/>
          <w:szCs w:val="21"/>
        </w:rPr>
        <w:t xml:space="preserve"> to a flat fee; low repeatability with a </w:t>
      </w:r>
      <w:proofErr w:type="gramStart"/>
      <w:r>
        <w:rPr>
          <w:sz w:val="21"/>
          <w:szCs w:val="21"/>
        </w:rPr>
        <w:t>measurable outcome points</w:t>
      </w:r>
      <w:proofErr w:type="gramEnd"/>
      <w:r>
        <w:rPr>
          <w:sz w:val="21"/>
          <w:szCs w:val="21"/>
        </w:rPr>
        <w:t xml:space="preserve"> to value-based pricing; low repeatability with a fuzzy outcome is where a hybrid retainer-plus-kicker still makes sense.</w:t>
      </w:r>
    </w:p>
    <w:p w14:paraId="24D1719F" w14:textId="77777777" w:rsidR="0055376F" w:rsidRDefault="00000000">
      <w:pPr>
        <w:spacing w:after="180"/>
      </w:pPr>
      <w:r>
        <w:rPr>
          <w:sz w:val="21"/>
          <w:szCs w:val="21"/>
        </w:rPr>
        <w:t>Average digital agency net margin sits around 13%. The agencies clearing 40–75% are disproportionately the ones that picked the right model per service line instead of using one model for everything.</w:t>
      </w:r>
    </w:p>
    <w:p w14:paraId="1200B4C2" w14:textId="77777777" w:rsidR="0055376F" w:rsidRDefault="00000000">
      <w:pPr>
        <w:pStyle w:val="Heading2"/>
        <w:spacing w:before="200" w:after="100"/>
      </w:pPr>
      <w:r>
        <w:rPr>
          <w:b/>
          <w:bCs/>
          <w:color w:val="8BC34A"/>
          <w:sz w:val="24"/>
          <w:szCs w:val="24"/>
        </w:rPr>
        <w:t>Mapped to Four Service Departments</w:t>
      </w:r>
    </w:p>
    <w:p w14:paraId="402341B4" w14:textId="77777777" w:rsidR="0055376F" w:rsidRDefault="00000000">
      <w:pPr>
        <w:spacing w:after="120"/>
      </w:pPr>
      <w:r>
        <w:rPr>
          <w:b/>
          <w:bCs/>
          <w:sz w:val="21"/>
          <w:szCs w:val="21"/>
        </w:rPr>
        <w:t>Performance (paid search, paid social, Amazon ads)</w:t>
      </w:r>
      <w:proofErr w:type="gramStart"/>
      <w:r>
        <w:rPr>
          <w:b/>
          <w:bCs/>
          <w:sz w:val="21"/>
          <w:szCs w:val="21"/>
        </w:rPr>
        <w:t xml:space="preserve">:  </w:t>
      </w:r>
      <w:r>
        <w:rPr>
          <w:sz w:val="21"/>
          <w:szCs w:val="21"/>
        </w:rPr>
        <w:t>highest</w:t>
      </w:r>
      <w:proofErr w:type="gramEnd"/>
      <w:r>
        <w:rPr>
          <w:sz w:val="21"/>
          <w:szCs w:val="21"/>
        </w:rPr>
        <w:t xml:space="preserve"> repeatability and the cleanest attribution of any line — the strongest near-term candidate for performance-based or productized/tiered pricing. This is also the line the paid-media efficiency scenario points straight at.</w:t>
      </w:r>
    </w:p>
    <w:p w14:paraId="239C7E51" w14:textId="77777777" w:rsidR="0055376F" w:rsidRDefault="00000000">
      <w:pPr>
        <w:spacing w:after="120"/>
      </w:pPr>
      <w:r>
        <w:rPr>
          <w:b/>
          <w:bCs/>
          <w:sz w:val="21"/>
          <w:szCs w:val="21"/>
        </w:rPr>
        <w:t xml:space="preserve">Automation (email, CRM):  </w:t>
      </w:r>
      <w:r>
        <w:rPr>
          <w:sz w:val="21"/>
          <w:szCs w:val="21"/>
        </w:rPr>
        <w:t>highly repeatable, decent measurability once journeys and platforms are standardized — a strong second candidate for a productized, subscription-style package.</w:t>
      </w:r>
    </w:p>
    <w:p w14:paraId="45A6C0CB" w14:textId="77777777" w:rsidR="0055376F" w:rsidRDefault="00000000">
      <w:pPr>
        <w:spacing w:after="120"/>
      </w:pPr>
      <w:r>
        <w:rPr>
          <w:b/>
          <w:bCs/>
          <w:sz w:val="21"/>
          <w:szCs w:val="21"/>
        </w:rPr>
        <w:t>Insight (analytics, reporting)</w:t>
      </w:r>
      <w:proofErr w:type="gramStart"/>
      <w:r>
        <w:rPr>
          <w:b/>
          <w:bCs/>
          <w:sz w:val="21"/>
          <w:szCs w:val="21"/>
        </w:rPr>
        <w:t xml:space="preserve">:  </w:t>
      </w:r>
      <w:r>
        <w:rPr>
          <w:sz w:val="21"/>
          <w:szCs w:val="21"/>
        </w:rPr>
        <w:t>a</w:t>
      </w:r>
      <w:proofErr w:type="gramEnd"/>
      <w:r>
        <w:rPr>
          <w:sz w:val="21"/>
          <w:szCs w:val="21"/>
        </w:rPr>
        <w:t xml:space="preserve"> natural fit to productize as a self-service or dashboard-as-a-product tier rather than billable hours.</w:t>
      </w:r>
    </w:p>
    <w:p w14:paraId="293EFDA5" w14:textId="77777777" w:rsidR="0055376F" w:rsidRDefault="00000000">
      <w:pPr>
        <w:spacing w:after="120"/>
      </w:pPr>
      <w:r>
        <w:rPr>
          <w:b/>
          <w:bCs/>
          <w:sz w:val="21"/>
          <w:szCs w:val="21"/>
        </w:rPr>
        <w:t>SEO / local SEO</w:t>
      </w:r>
      <w:proofErr w:type="gramStart"/>
      <w:r>
        <w:rPr>
          <w:b/>
          <w:bCs/>
          <w:sz w:val="21"/>
          <w:szCs w:val="21"/>
        </w:rPr>
        <w:t xml:space="preserve">:  </w:t>
      </w:r>
      <w:r>
        <w:rPr>
          <w:sz w:val="21"/>
          <w:szCs w:val="21"/>
        </w:rPr>
        <w:t>repeatable</w:t>
      </w:r>
      <w:proofErr w:type="gramEnd"/>
      <w:r>
        <w:rPr>
          <w:sz w:val="21"/>
          <w:szCs w:val="21"/>
        </w:rPr>
        <w:t xml:space="preserve"> process, but outcomes lag for months and attribution is muddier than paid — better suited to a flat-</w:t>
      </w:r>
      <w:proofErr w:type="gramStart"/>
      <w:r>
        <w:rPr>
          <w:sz w:val="21"/>
          <w:szCs w:val="21"/>
        </w:rPr>
        <w:t>fee</w:t>
      </w:r>
      <w:proofErr w:type="gramEnd"/>
      <w:r>
        <w:rPr>
          <w:sz w:val="21"/>
          <w:szCs w:val="21"/>
        </w:rPr>
        <w:t xml:space="preserve"> or hybrid retainer than to pure performance pricing, at least until enough historical data exists to price it on outcome.</w:t>
      </w:r>
    </w:p>
    <w:p w14:paraId="70956ADF" w14:textId="77777777" w:rsidR="0055376F" w:rsidRDefault="00000000">
      <w:pPr>
        <w:spacing w:after="120"/>
      </w:pPr>
      <w:r>
        <w:rPr>
          <w:b/>
          <w:bCs/>
          <w:sz w:val="21"/>
          <w:szCs w:val="21"/>
        </w:rPr>
        <w:t>Creative / brand</w:t>
      </w:r>
      <w:proofErr w:type="gramStart"/>
      <w:r>
        <w:rPr>
          <w:b/>
          <w:bCs/>
          <w:sz w:val="21"/>
          <w:szCs w:val="21"/>
        </w:rPr>
        <w:t xml:space="preserve">:  </w:t>
      </w:r>
      <w:r>
        <w:rPr>
          <w:sz w:val="21"/>
          <w:szCs w:val="21"/>
        </w:rPr>
        <w:t>the</w:t>
      </w:r>
      <w:proofErr w:type="gramEnd"/>
      <w:r>
        <w:rPr>
          <w:sz w:val="21"/>
          <w:szCs w:val="21"/>
        </w:rPr>
        <w:t xml:space="preserve"> least repeatable, most judgment-driven line — stays a hybrid retainer for larger brand work, but smaller, standardizable deliverables (a landing page, a one-off asset sprint) are good candidates for a fixed-price productized package.</w:t>
      </w:r>
    </w:p>
    <w:p w14:paraId="2F31D53D" w14:textId="77777777" w:rsidR="0055376F" w:rsidRDefault="00000000">
      <w:pPr>
        <w:spacing w:after="180"/>
      </w:pPr>
      <w:r>
        <w:rPr>
          <w:b/>
          <w:bCs/>
          <w:sz w:val="21"/>
          <w:szCs w:val="21"/>
        </w:rPr>
        <w:t>Fractional CMO</w:t>
      </w:r>
      <w:proofErr w:type="gramStart"/>
      <w:r>
        <w:rPr>
          <w:b/>
          <w:bCs/>
          <w:sz w:val="21"/>
          <w:szCs w:val="21"/>
        </w:rPr>
        <w:t xml:space="preserve">:  </w:t>
      </w:r>
      <w:r>
        <w:rPr>
          <w:sz w:val="21"/>
          <w:szCs w:val="21"/>
        </w:rPr>
        <w:t>advisory</w:t>
      </w:r>
      <w:proofErr w:type="gramEnd"/>
      <w:r>
        <w:rPr>
          <w:sz w:val="21"/>
          <w:szCs w:val="21"/>
        </w:rPr>
        <w:t xml:space="preserve"> by nature — retainer or value-based, not productized; the value is judgment, not repeatable output.</w:t>
      </w:r>
    </w:p>
    <w:p w14:paraId="25CE521D" w14:textId="77777777" w:rsidR="0055376F" w:rsidRDefault="00000000">
      <w:pPr>
        <w:spacing w:after="180"/>
      </w:pPr>
      <w:r>
        <w:rPr>
          <w:sz w:val="21"/>
          <w:szCs w:val="21"/>
        </w:rPr>
        <w:t>A real, publicly posted example worth knowing: one agency prices SEO as custom, negotiated packages, starting in the low thousands per month, with most clients landing in the $3,000–$6,000/month range, not a published tiered structure. That's a live, concrete example of exactly the margin-leakage and delivery-inconsistency problem this kind of role exists to fix: every custom SOW is its own cost-to-serve conversation. Separately, an AI/LLM search-visibility service often already exists as a distinct, named offering, but is positioned as soft-sell thought leadership (educational content ending in a generic call to action) rather than a priced tier — a fast, low-risk near-term win is to productize what's already being given away as content marketing.</w:t>
      </w:r>
    </w:p>
    <w:p w14:paraId="7730EAEA" w14:textId="77777777" w:rsidR="0055376F" w:rsidRDefault="00000000">
      <w:pPr>
        <w:pStyle w:val="Heading2"/>
        <w:spacing w:before="200" w:after="100"/>
      </w:pPr>
      <w:r>
        <w:rPr>
          <w:b/>
          <w:bCs/>
          <w:color w:val="8BC34A"/>
          <w:sz w:val="24"/>
          <w:szCs w:val="24"/>
        </w:rPr>
        <w:t>The Point of View</w:t>
      </w:r>
    </w:p>
    <w:p w14:paraId="2AB0FEAE" w14:textId="77777777" w:rsidR="0055376F" w:rsidRDefault="00000000">
      <w:pPr>
        <w:spacing w:after="180"/>
      </w:pPr>
      <w:r>
        <w:rPr>
          <w:sz w:val="21"/>
          <w:szCs w:val="21"/>
        </w:rPr>
        <w:t xml:space="preserve">Don't pick one model for </w:t>
      </w:r>
      <w:proofErr w:type="gramStart"/>
      <w:r>
        <w:rPr>
          <w:sz w:val="21"/>
          <w:szCs w:val="21"/>
        </w:rPr>
        <w:t>all of</w:t>
      </w:r>
      <w:proofErr w:type="gramEnd"/>
      <w:r>
        <w:rPr>
          <w:sz w:val="21"/>
          <w:szCs w:val="21"/>
        </w:rPr>
        <w:t xml:space="preserve"> the agency's services — that's the mistake the repeatability/measurability framework is built to avoid. Sequence it: productize the highest-repeatability, most measurable lines first (pieces of Performance and Automation) for a fast, low-risk margin win; treat Insight as a self-service product opportunity, not just an internal reporting fix; leave Creative and SEO on retainer or hybrid models until the data exists to price them differently; and treat AI-discount pressure as the forcing function to move off hourly/T&amp;M proactively, on the agency's own terms, rather than reactively when a client asks for one. That sequencing, not a single sweeping repricing, is also the version of this that Sales and Delivery are easiest to bring along on, which ties straight back to the churn-risk scenario above.</w:t>
      </w:r>
    </w:p>
    <w:p w14:paraId="632733CC" w14:textId="77777777" w:rsidR="0055376F" w:rsidRDefault="00000000">
      <w:pPr>
        <w:pStyle w:val="Heading1"/>
        <w:pBdr>
          <w:bottom w:val="single" w:sz="8" w:space="4" w:color="8BC34A"/>
        </w:pBdr>
        <w:spacing w:before="400" w:after="160"/>
      </w:pPr>
      <w:r>
        <w:rPr>
          <w:b/>
          <w:bCs/>
          <w:color w:val="8BC34A"/>
          <w:sz w:val="30"/>
          <w:szCs w:val="30"/>
        </w:rPr>
        <w:lastRenderedPageBreak/>
        <w:t xml:space="preserve">Summary </w:t>
      </w:r>
      <w:proofErr w:type="gramStart"/>
      <w:r>
        <w:rPr>
          <w:b/>
          <w:bCs/>
          <w:color w:val="8BC34A"/>
          <w:sz w:val="30"/>
          <w:szCs w:val="30"/>
        </w:rPr>
        <w:t>at a Glance</w:t>
      </w:r>
      <w:proofErr w:type="gramEnd"/>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6550"/>
      </w:tblGrid>
      <w:tr w:rsidR="0055376F" w14:paraId="368584F5" w14:textId="77777777">
        <w:tblPrEx>
          <w:tblCellMar>
            <w:top w:w="0" w:type="dxa"/>
            <w:bottom w:w="0" w:type="dxa"/>
          </w:tblCellMar>
        </w:tblPrEx>
        <w:trPr>
          <w:tblHeader/>
        </w:trPr>
        <w:tc>
          <w:tcPr>
            <w:tcW w:w="2800" w:type="dxa"/>
            <w:shd w:val="clear" w:color="auto" w:fill="1B2A6B"/>
          </w:tcPr>
          <w:p w14:paraId="71FB0A19" w14:textId="77777777" w:rsidR="0055376F" w:rsidRDefault="00000000">
            <w:r>
              <w:rPr>
                <w:b/>
                <w:bCs/>
                <w:color w:val="FFFFFF"/>
              </w:rPr>
              <w:t>Topic</w:t>
            </w:r>
          </w:p>
        </w:tc>
        <w:tc>
          <w:tcPr>
            <w:tcW w:w="6550" w:type="dxa"/>
            <w:shd w:val="clear" w:color="auto" w:fill="1B2A6B"/>
          </w:tcPr>
          <w:p w14:paraId="46BF5DFD" w14:textId="77777777" w:rsidR="0055376F" w:rsidRDefault="00000000">
            <w:r>
              <w:rPr>
                <w:b/>
                <w:bCs/>
                <w:color w:val="FFFFFF"/>
              </w:rPr>
              <w:t>Summary</w:t>
            </w:r>
          </w:p>
        </w:tc>
      </w:tr>
      <w:tr w:rsidR="0055376F" w14:paraId="67FE6643" w14:textId="77777777">
        <w:tblPrEx>
          <w:tblCellMar>
            <w:top w:w="0" w:type="dxa"/>
            <w:bottom w:w="0" w:type="dxa"/>
          </w:tblCellMar>
        </w:tblPrEx>
        <w:tc>
          <w:tcPr>
            <w:tcW w:w="2800" w:type="dxa"/>
            <w:shd w:val="clear" w:color="auto" w:fill="F2F2F2"/>
          </w:tcPr>
          <w:p w14:paraId="3B4A80DF" w14:textId="77777777" w:rsidR="0055376F" w:rsidRDefault="00000000">
            <w:r>
              <w:rPr>
                <w:b/>
                <w:bCs/>
                <w:color w:val="1B2A6B"/>
                <w:sz w:val="19"/>
                <w:szCs w:val="19"/>
              </w:rPr>
              <w:t>Orchestrating vs. building</w:t>
            </w:r>
          </w:p>
        </w:tc>
        <w:tc>
          <w:tcPr>
            <w:tcW w:w="6550" w:type="dxa"/>
            <w:shd w:val="clear" w:color="auto" w:fill="F2F2F2"/>
          </w:tcPr>
          <w:p w14:paraId="343ECAFF" w14:textId="77777777" w:rsidR="0055376F" w:rsidRDefault="00000000">
            <w:r>
              <w:rPr>
                <w:sz w:val="19"/>
                <w:szCs w:val="19"/>
              </w:rPr>
              <w:t>Own the highest-leverage 20% of technical decisions and the review cadence; delegate the rest. Credibility comes from removing ambiguity, not redoing the work.</w:t>
            </w:r>
          </w:p>
        </w:tc>
      </w:tr>
      <w:tr w:rsidR="0055376F" w14:paraId="208BB6EF" w14:textId="77777777">
        <w:tblPrEx>
          <w:tblCellMar>
            <w:top w:w="0" w:type="dxa"/>
            <w:bottom w:w="0" w:type="dxa"/>
          </w:tblCellMar>
        </w:tblPrEx>
        <w:tc>
          <w:tcPr>
            <w:tcW w:w="2800" w:type="dxa"/>
            <w:shd w:val="clear" w:color="auto" w:fill="FFFFFF"/>
          </w:tcPr>
          <w:p w14:paraId="25A5F913" w14:textId="77777777" w:rsidR="0055376F" w:rsidRDefault="00000000">
            <w:r>
              <w:rPr>
                <w:b/>
                <w:bCs/>
                <w:color w:val="1B2A6B"/>
                <w:sz w:val="19"/>
                <w:szCs w:val="19"/>
              </w:rPr>
              <w:t>Imposing structure that lasts</w:t>
            </w:r>
          </w:p>
        </w:tc>
        <w:tc>
          <w:tcPr>
            <w:tcW w:w="6550" w:type="dxa"/>
            <w:shd w:val="clear" w:color="auto" w:fill="FFFFFF"/>
          </w:tcPr>
          <w:p w14:paraId="6B51147C" w14:textId="77777777" w:rsidR="0055376F" w:rsidRDefault="00000000">
            <w:r>
              <w:rPr>
                <w:sz w:val="19"/>
                <w:szCs w:val="19"/>
              </w:rPr>
              <w:t>Build it into the smallest painful workflow first, make it the default, not a mandate. Test: does it survive without someone enforcing it?</w:t>
            </w:r>
          </w:p>
        </w:tc>
      </w:tr>
      <w:tr w:rsidR="0055376F" w14:paraId="522166DF" w14:textId="77777777">
        <w:tblPrEx>
          <w:tblCellMar>
            <w:top w:w="0" w:type="dxa"/>
            <w:bottom w:w="0" w:type="dxa"/>
          </w:tblCellMar>
        </w:tblPrEx>
        <w:tc>
          <w:tcPr>
            <w:tcW w:w="2800" w:type="dxa"/>
            <w:shd w:val="clear" w:color="auto" w:fill="F2F2F2"/>
          </w:tcPr>
          <w:p w14:paraId="2AF5B93B" w14:textId="77777777" w:rsidR="0055376F" w:rsidRDefault="00000000">
            <w:r>
              <w:rPr>
                <w:b/>
                <w:bCs/>
                <w:color w:val="1B2A6B"/>
                <w:sz w:val="19"/>
                <w:szCs w:val="19"/>
              </w:rPr>
              <w:t>Commercializing service lines</w:t>
            </w:r>
          </w:p>
        </w:tc>
        <w:tc>
          <w:tcPr>
            <w:tcW w:w="6550" w:type="dxa"/>
            <w:shd w:val="clear" w:color="auto" w:fill="F2F2F2"/>
          </w:tcPr>
          <w:p w14:paraId="2FCFCE12" w14:textId="77777777" w:rsidR="0055376F" w:rsidRDefault="00000000">
            <w:r>
              <w:rPr>
                <w:sz w:val="19"/>
                <w:szCs w:val="19"/>
              </w:rPr>
              <w:t>See unit economics before deciding. Options beyond price/kill: repackage, productize delivery, tier it. Bring Sales/Delivery into the model, not just the decision.</w:t>
            </w:r>
          </w:p>
        </w:tc>
      </w:tr>
      <w:tr w:rsidR="0055376F" w14:paraId="6D85BBA8" w14:textId="77777777">
        <w:tblPrEx>
          <w:tblCellMar>
            <w:top w:w="0" w:type="dxa"/>
            <w:bottom w:w="0" w:type="dxa"/>
          </w:tblCellMar>
        </w:tblPrEx>
        <w:tc>
          <w:tcPr>
            <w:tcW w:w="2800" w:type="dxa"/>
            <w:shd w:val="clear" w:color="auto" w:fill="FFFFFF"/>
          </w:tcPr>
          <w:p w14:paraId="66746D26" w14:textId="77777777" w:rsidR="0055376F" w:rsidRDefault="00000000">
            <w:r>
              <w:rPr>
                <w:b/>
                <w:bCs/>
                <w:color w:val="1B2A6B"/>
                <w:sz w:val="19"/>
                <w:szCs w:val="19"/>
              </w:rPr>
              <w:t>Aligning 4 department leaders</w:t>
            </w:r>
          </w:p>
        </w:tc>
        <w:tc>
          <w:tcPr>
            <w:tcW w:w="6550" w:type="dxa"/>
            <w:shd w:val="clear" w:color="auto" w:fill="FFFFFF"/>
          </w:tcPr>
          <w:p w14:paraId="1B8C397A" w14:textId="77777777" w:rsidR="0055376F" w:rsidRDefault="00000000">
            <w:r>
              <w:rPr>
                <w:sz w:val="19"/>
                <w:szCs w:val="19"/>
              </w:rPr>
              <w:t>90 days = listen &amp; map (30) → co-authored shared narrative (60) → one visible joint win (90). Sustain with shared cadence + shared dashboard.</w:t>
            </w:r>
          </w:p>
        </w:tc>
      </w:tr>
      <w:tr w:rsidR="0055376F" w14:paraId="12495CDC" w14:textId="77777777">
        <w:tblPrEx>
          <w:tblCellMar>
            <w:top w:w="0" w:type="dxa"/>
            <w:bottom w:w="0" w:type="dxa"/>
          </w:tblCellMar>
        </w:tblPrEx>
        <w:tc>
          <w:tcPr>
            <w:tcW w:w="2800" w:type="dxa"/>
            <w:shd w:val="clear" w:color="auto" w:fill="F2F2F2"/>
          </w:tcPr>
          <w:p w14:paraId="3E7D2108" w14:textId="77777777" w:rsidR="0055376F" w:rsidRDefault="00000000">
            <w:r>
              <w:rPr>
                <w:b/>
                <w:bCs/>
                <w:color w:val="1B2A6B"/>
                <w:sz w:val="19"/>
                <w:szCs w:val="19"/>
              </w:rPr>
              <w:t>Week-3 integration holdout</w:t>
            </w:r>
          </w:p>
        </w:tc>
        <w:tc>
          <w:tcPr>
            <w:tcW w:w="6550" w:type="dxa"/>
            <w:shd w:val="clear" w:color="auto" w:fill="F2F2F2"/>
          </w:tcPr>
          <w:p w14:paraId="6168F344" w14:textId="77777777" w:rsidR="0055376F" w:rsidRDefault="00000000">
            <w:r>
              <w:rPr>
                <w:sz w:val="19"/>
                <w:szCs w:val="19"/>
              </w:rPr>
              <w:t xml:space="preserve">Go direct and private. </w:t>
            </w:r>
            <w:proofErr w:type="gramStart"/>
            <w:r>
              <w:rPr>
                <w:sz w:val="19"/>
                <w:szCs w:val="19"/>
              </w:rPr>
              <w:t>Diagnose</w:t>
            </w:r>
            <w:proofErr w:type="gramEnd"/>
            <w:r>
              <w:rPr>
                <w:sz w:val="19"/>
                <w:szCs w:val="19"/>
              </w:rPr>
              <w:t xml:space="preserve"> real workflow break vs. resistance. Fix with them if it's real; short trial + checkpoint if it's not.</w:t>
            </w:r>
          </w:p>
        </w:tc>
      </w:tr>
      <w:tr w:rsidR="0055376F" w14:paraId="24E4B9EF" w14:textId="77777777">
        <w:tblPrEx>
          <w:tblCellMar>
            <w:top w:w="0" w:type="dxa"/>
            <w:bottom w:w="0" w:type="dxa"/>
          </w:tblCellMar>
        </w:tblPrEx>
        <w:tc>
          <w:tcPr>
            <w:tcW w:w="2800" w:type="dxa"/>
            <w:shd w:val="clear" w:color="auto" w:fill="FFFFFF"/>
          </w:tcPr>
          <w:p w14:paraId="237C1FA4" w14:textId="77777777" w:rsidR="0055376F" w:rsidRDefault="00000000">
            <w:r>
              <w:rPr>
                <w:b/>
                <w:bCs/>
                <w:color w:val="1B2A6B"/>
                <w:sz w:val="19"/>
                <w:szCs w:val="19"/>
              </w:rPr>
              <w:t>90-day data coherence</w:t>
            </w:r>
          </w:p>
        </w:tc>
        <w:tc>
          <w:tcPr>
            <w:tcW w:w="6550" w:type="dxa"/>
            <w:shd w:val="clear" w:color="auto" w:fill="FFFFFF"/>
          </w:tcPr>
          <w:p w14:paraId="6BD6A780" w14:textId="77777777" w:rsidR="0055376F" w:rsidRDefault="00000000">
            <w:r>
              <w:rPr>
                <w:sz w:val="19"/>
                <w:szCs w:val="19"/>
              </w:rPr>
              <w:t>Start from the one decision that matters, not a BI overhaul. Manual dashboard first to prove value, automate second, expand third.</w:t>
            </w:r>
          </w:p>
        </w:tc>
      </w:tr>
      <w:tr w:rsidR="0055376F" w14:paraId="2FF7B02F" w14:textId="77777777">
        <w:tblPrEx>
          <w:tblCellMar>
            <w:top w:w="0" w:type="dxa"/>
            <w:bottom w:w="0" w:type="dxa"/>
          </w:tblCellMar>
        </w:tblPrEx>
        <w:tc>
          <w:tcPr>
            <w:tcW w:w="2800" w:type="dxa"/>
            <w:shd w:val="clear" w:color="auto" w:fill="F2F2F2"/>
          </w:tcPr>
          <w:p w14:paraId="75BDD6F8" w14:textId="77777777" w:rsidR="0055376F" w:rsidRDefault="00000000">
            <w:r>
              <w:rPr>
                <w:b/>
                <w:bCs/>
                <w:color w:val="1B2A6B"/>
                <w:sz w:val="19"/>
                <w:szCs w:val="19"/>
              </w:rPr>
              <w:t>Reprice vs. churn risk</w:t>
            </w:r>
          </w:p>
        </w:tc>
        <w:tc>
          <w:tcPr>
            <w:tcW w:w="6550" w:type="dxa"/>
            <w:shd w:val="clear" w:color="auto" w:fill="F2F2F2"/>
          </w:tcPr>
          <w:p w14:paraId="0EECDD6F" w14:textId="77777777" w:rsidR="0055376F" w:rsidRDefault="00000000">
            <w:r>
              <w:rPr>
                <w:sz w:val="19"/>
                <w:szCs w:val="19"/>
              </w:rPr>
              <w:t>Same underlying call — sequencing and offer for the two accounts change, not the decision. Test whether churn risk is real or assumed.</w:t>
            </w:r>
          </w:p>
        </w:tc>
      </w:tr>
      <w:tr w:rsidR="0055376F" w14:paraId="36332CA6" w14:textId="77777777">
        <w:tblPrEx>
          <w:tblCellMar>
            <w:top w:w="0" w:type="dxa"/>
            <w:bottom w:w="0" w:type="dxa"/>
          </w:tblCellMar>
        </w:tblPrEx>
        <w:tc>
          <w:tcPr>
            <w:tcW w:w="2800" w:type="dxa"/>
            <w:shd w:val="clear" w:color="auto" w:fill="FFFFFF"/>
          </w:tcPr>
          <w:p w14:paraId="4C2ED224" w14:textId="77777777" w:rsidR="0055376F" w:rsidRDefault="00000000">
            <w:r>
              <w:rPr>
                <w:b/>
                <w:bCs/>
                <w:color w:val="1B2A6B"/>
                <w:sz w:val="19"/>
                <w:szCs w:val="19"/>
              </w:rPr>
              <w:t>Burned-out report builder</w:t>
            </w:r>
          </w:p>
        </w:tc>
        <w:tc>
          <w:tcPr>
            <w:tcW w:w="6550" w:type="dxa"/>
            <w:shd w:val="clear" w:color="auto" w:fill="FFFFFF"/>
          </w:tcPr>
          <w:p w14:paraId="3B408B77" w14:textId="77777777" w:rsidR="0055376F" w:rsidRDefault="00000000">
            <w:r>
              <w:rPr>
                <w:sz w:val="19"/>
                <w:szCs w:val="19"/>
              </w:rPr>
              <w:t>20 minutes: walk the report line by line, cut/automate/isolate. Fix the systemic “no one owns toil” gap, not just this report.</w:t>
            </w:r>
          </w:p>
        </w:tc>
      </w:tr>
      <w:tr w:rsidR="0055376F" w14:paraId="73573E19" w14:textId="77777777">
        <w:tblPrEx>
          <w:tblCellMar>
            <w:top w:w="0" w:type="dxa"/>
            <w:bottom w:w="0" w:type="dxa"/>
          </w:tblCellMar>
        </w:tblPrEx>
        <w:tc>
          <w:tcPr>
            <w:tcW w:w="2800" w:type="dxa"/>
            <w:shd w:val="clear" w:color="auto" w:fill="F2F2F2"/>
          </w:tcPr>
          <w:p w14:paraId="64449CAB" w14:textId="77777777" w:rsidR="0055376F" w:rsidRDefault="00000000">
            <w:r>
              <w:rPr>
                <w:b/>
                <w:bCs/>
                <w:color w:val="1B2A6B"/>
                <w:sz w:val="19"/>
                <w:szCs w:val="19"/>
              </w:rPr>
              <w:t>Zero budget, zero headcount</w:t>
            </w:r>
          </w:p>
        </w:tc>
        <w:tc>
          <w:tcPr>
            <w:tcW w:w="6550" w:type="dxa"/>
            <w:shd w:val="clear" w:color="auto" w:fill="F2F2F2"/>
          </w:tcPr>
          <w:p w14:paraId="373B2716" w14:textId="77777777" w:rsidR="0055376F" w:rsidRDefault="00000000">
            <w:r>
              <w:rPr>
                <w:sz w:val="19"/>
                <w:szCs w:val="19"/>
              </w:rPr>
              <w:t>Redeploy existing capacity by killing low-value recurring work. Sequence cheap wins first; bring data before asking for budget.</w:t>
            </w:r>
          </w:p>
        </w:tc>
      </w:tr>
      <w:tr w:rsidR="0055376F" w14:paraId="3110E525" w14:textId="77777777">
        <w:tblPrEx>
          <w:tblCellMar>
            <w:top w:w="0" w:type="dxa"/>
            <w:bottom w:w="0" w:type="dxa"/>
          </w:tblCellMar>
        </w:tblPrEx>
        <w:tc>
          <w:tcPr>
            <w:tcW w:w="2800" w:type="dxa"/>
            <w:shd w:val="clear" w:color="auto" w:fill="FFFFFF"/>
          </w:tcPr>
          <w:p w14:paraId="74F62D61" w14:textId="77777777" w:rsidR="0055376F" w:rsidRDefault="00000000">
            <w:r>
              <w:rPr>
                <w:b/>
                <w:bCs/>
                <w:color w:val="1B2A6B"/>
                <w:sz w:val="19"/>
                <w:szCs w:val="19"/>
              </w:rPr>
              <w:t>Paid-media efficiency read</w:t>
            </w:r>
          </w:p>
        </w:tc>
        <w:tc>
          <w:tcPr>
            <w:tcW w:w="6550" w:type="dxa"/>
            <w:shd w:val="clear" w:color="auto" w:fill="FFFFFF"/>
          </w:tcPr>
          <w:p w14:paraId="2337DC73" w14:textId="77777777" w:rsidR="0055376F" w:rsidRDefault="00000000">
            <w:r>
              <w:rPr>
                <w:sz w:val="19"/>
                <w:szCs w:val="19"/>
              </w:rPr>
              <w:t>Cost-to-serve, work-mix ratio, utilization, tooling coverage by account. Diagnose workflow vs. staffing vs. pricing in that order before changing anything.</w:t>
            </w:r>
          </w:p>
        </w:tc>
      </w:tr>
      <w:tr w:rsidR="0055376F" w14:paraId="6CB8A6B5" w14:textId="77777777">
        <w:tblPrEx>
          <w:tblCellMar>
            <w:top w:w="0" w:type="dxa"/>
            <w:bottom w:w="0" w:type="dxa"/>
          </w:tblCellMar>
        </w:tblPrEx>
        <w:tc>
          <w:tcPr>
            <w:tcW w:w="2800" w:type="dxa"/>
            <w:shd w:val="clear" w:color="auto" w:fill="F2F2F2"/>
          </w:tcPr>
          <w:p w14:paraId="70338D36" w14:textId="77777777" w:rsidR="0055376F" w:rsidRDefault="00000000">
            <w:r>
              <w:rPr>
                <w:b/>
                <w:bCs/>
                <w:color w:val="1B2A6B"/>
                <w:sz w:val="19"/>
                <w:szCs w:val="19"/>
              </w:rPr>
              <w:t>Monetization model choice</w:t>
            </w:r>
          </w:p>
        </w:tc>
        <w:tc>
          <w:tcPr>
            <w:tcW w:w="6550" w:type="dxa"/>
            <w:shd w:val="clear" w:color="auto" w:fill="F2F2F2"/>
          </w:tcPr>
          <w:p w14:paraId="04BD497B" w14:textId="77777777" w:rsidR="0055376F" w:rsidRDefault="00000000">
            <w:r>
              <w:rPr>
                <w:sz w:val="19"/>
                <w:szCs w:val="19"/>
              </w:rPr>
              <w:t>Plot each line on repeatability × outcome-measurability. Productize Performance/Automation first; self-serve Insight; keep Creative/SEO on retainer until data exists. Move off hourly before clients demand an “AI discount.”</w:t>
            </w:r>
          </w:p>
        </w:tc>
      </w:tr>
    </w:tbl>
    <w:p w14:paraId="02E06259" w14:textId="77777777" w:rsidR="0055376F" w:rsidRDefault="00000000">
      <w:pPr>
        <w:spacing w:before="240" w:after="80"/>
      </w:pPr>
      <w:r>
        <w:rPr>
          <w:b/>
          <w:bCs/>
          <w:sz w:val="21"/>
          <w:szCs w:val="21"/>
        </w:rPr>
        <w:t>One operating principle</w:t>
      </w:r>
      <w:proofErr w:type="gramStart"/>
      <w:r>
        <w:rPr>
          <w:b/>
          <w:bCs/>
          <w:sz w:val="21"/>
          <w:szCs w:val="21"/>
        </w:rPr>
        <w:t xml:space="preserve">:  </w:t>
      </w:r>
      <w:r>
        <w:rPr>
          <w:sz w:val="21"/>
          <w:szCs w:val="21"/>
        </w:rPr>
        <w:t>a</w:t>
      </w:r>
      <w:proofErr w:type="gramEnd"/>
      <w:r>
        <w:rPr>
          <w:sz w:val="21"/>
          <w:szCs w:val="21"/>
        </w:rPr>
        <w:t xml:space="preserve"> well-reasoned point of view matters more than reflexive agreement, including disagreement. Don't soften an answer to sound agreeable; name the tradeoff and take a side.</w:t>
      </w:r>
    </w:p>
    <w:sectPr w:rsidR="0055376F">
      <w:pgSz w:w="12240" w:h="15840"/>
      <w:pgMar w:top="1080" w:right="1080" w:bottom="108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B50546"/>
    <w:multiLevelType w:val="hybridMultilevel"/>
    <w:tmpl w:val="F176ED44"/>
    <w:lvl w:ilvl="0" w:tplc="0CC4FD7A">
      <w:start w:val="1"/>
      <w:numFmt w:val="bullet"/>
      <w:lvlText w:val="●"/>
      <w:lvlJc w:val="left"/>
      <w:pPr>
        <w:ind w:left="720" w:hanging="360"/>
      </w:pPr>
    </w:lvl>
    <w:lvl w:ilvl="1" w:tplc="EA462DDC">
      <w:start w:val="1"/>
      <w:numFmt w:val="bullet"/>
      <w:lvlText w:val="○"/>
      <w:lvlJc w:val="left"/>
      <w:pPr>
        <w:ind w:left="1440" w:hanging="360"/>
      </w:pPr>
    </w:lvl>
    <w:lvl w:ilvl="2" w:tplc="C728C3F2">
      <w:start w:val="1"/>
      <w:numFmt w:val="bullet"/>
      <w:lvlText w:val="■"/>
      <w:lvlJc w:val="left"/>
      <w:pPr>
        <w:ind w:left="2160" w:hanging="360"/>
      </w:pPr>
    </w:lvl>
    <w:lvl w:ilvl="3" w:tplc="BAEC5F8E">
      <w:start w:val="1"/>
      <w:numFmt w:val="bullet"/>
      <w:lvlText w:val="●"/>
      <w:lvlJc w:val="left"/>
      <w:pPr>
        <w:ind w:left="2880" w:hanging="360"/>
      </w:pPr>
    </w:lvl>
    <w:lvl w:ilvl="4" w:tplc="24E49CD2">
      <w:start w:val="1"/>
      <w:numFmt w:val="bullet"/>
      <w:lvlText w:val="○"/>
      <w:lvlJc w:val="left"/>
      <w:pPr>
        <w:ind w:left="3600" w:hanging="360"/>
      </w:pPr>
    </w:lvl>
    <w:lvl w:ilvl="5" w:tplc="A3824164">
      <w:start w:val="1"/>
      <w:numFmt w:val="bullet"/>
      <w:lvlText w:val="■"/>
      <w:lvlJc w:val="left"/>
      <w:pPr>
        <w:ind w:left="4320" w:hanging="360"/>
      </w:pPr>
    </w:lvl>
    <w:lvl w:ilvl="6" w:tplc="E4123D48">
      <w:start w:val="1"/>
      <w:numFmt w:val="bullet"/>
      <w:lvlText w:val="●"/>
      <w:lvlJc w:val="left"/>
      <w:pPr>
        <w:ind w:left="5040" w:hanging="360"/>
      </w:pPr>
    </w:lvl>
    <w:lvl w:ilvl="7" w:tplc="5A4EDD2E">
      <w:start w:val="1"/>
      <w:numFmt w:val="bullet"/>
      <w:lvlText w:val="●"/>
      <w:lvlJc w:val="left"/>
      <w:pPr>
        <w:ind w:left="5760" w:hanging="360"/>
      </w:pPr>
    </w:lvl>
    <w:lvl w:ilvl="8" w:tplc="EB6C4340">
      <w:start w:val="1"/>
      <w:numFmt w:val="bullet"/>
      <w:lvlText w:val="●"/>
      <w:lvlJc w:val="left"/>
      <w:pPr>
        <w:ind w:left="6480" w:hanging="360"/>
      </w:pPr>
    </w:lvl>
  </w:abstractNum>
  <w:abstractNum w:abstractNumId="1" w15:restartNumberingAfterBreak="0">
    <w:nsid w:val="4A987796"/>
    <w:multiLevelType w:val="hybridMultilevel"/>
    <w:tmpl w:val="1BC846D0"/>
    <w:lvl w:ilvl="0" w:tplc="E9A28192">
      <w:start w:val="1"/>
      <w:numFmt w:val="bullet"/>
      <w:lvlText w:val="•"/>
      <w:lvlJc w:val="left"/>
      <w:pPr>
        <w:ind w:left="504" w:hanging="259"/>
      </w:pPr>
    </w:lvl>
    <w:lvl w:ilvl="1" w:tplc="3788B076">
      <w:start w:val="1"/>
      <w:numFmt w:val="bullet"/>
      <w:lvlText w:val="–"/>
      <w:lvlJc w:val="left"/>
      <w:pPr>
        <w:ind w:left="936" w:hanging="259"/>
      </w:pPr>
    </w:lvl>
    <w:lvl w:ilvl="2" w:tplc="0EC4E2A8">
      <w:numFmt w:val="decimal"/>
      <w:lvlText w:val=""/>
      <w:lvlJc w:val="left"/>
    </w:lvl>
    <w:lvl w:ilvl="3" w:tplc="ECB2EF6A">
      <w:numFmt w:val="decimal"/>
      <w:lvlText w:val=""/>
      <w:lvlJc w:val="left"/>
    </w:lvl>
    <w:lvl w:ilvl="4" w:tplc="52145464">
      <w:numFmt w:val="decimal"/>
      <w:lvlText w:val=""/>
      <w:lvlJc w:val="left"/>
    </w:lvl>
    <w:lvl w:ilvl="5" w:tplc="19D8D916">
      <w:numFmt w:val="decimal"/>
      <w:lvlText w:val=""/>
      <w:lvlJc w:val="left"/>
    </w:lvl>
    <w:lvl w:ilvl="6" w:tplc="ADAAE1FC">
      <w:numFmt w:val="decimal"/>
      <w:lvlText w:val=""/>
      <w:lvlJc w:val="left"/>
    </w:lvl>
    <w:lvl w:ilvl="7" w:tplc="28244244">
      <w:numFmt w:val="decimal"/>
      <w:lvlText w:val=""/>
      <w:lvlJc w:val="left"/>
    </w:lvl>
    <w:lvl w:ilvl="8" w:tplc="878ED5D6">
      <w:numFmt w:val="decimal"/>
      <w:lvlText w:val=""/>
      <w:lvlJc w:val="left"/>
    </w:lvl>
  </w:abstractNum>
  <w:num w:numId="1" w16cid:durableId="879126732">
    <w:abstractNumId w:val="0"/>
    <w:lvlOverride w:ilvl="0">
      <w:startOverride w:val="1"/>
    </w:lvlOverride>
  </w:num>
  <w:num w:numId="2" w16cid:durableId="30732550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76F"/>
    <w:rsid w:val="00046C7F"/>
    <w:rsid w:val="000E6361"/>
    <w:rsid w:val="005537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490A6"/>
  <w15:docId w15:val="{C0A802B9-A201-4E63-ADBC-71ABFDA2C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3611</Words>
  <Characters>20583</Characters>
  <Application>Microsoft Office Word</Application>
  <DocSecurity>0</DocSecurity>
  <Lines>171</Lines>
  <Paragraphs>48</Paragraphs>
  <ScaleCrop>false</ScaleCrop>
  <Company/>
  <LinksUpToDate>false</LinksUpToDate>
  <CharactersWithSpaces>24146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Corrina Cohen</cp:lastModifiedBy>
  <cp:revision>2</cp:revision>
  <dcterms:created xsi:type="dcterms:W3CDTF">2026-08-11T15:15:00Z</dcterms:created>
  <dcterms:modified xsi:type="dcterms:W3CDTF">2026-08-11T15:55:00Z</dcterms:modified>
</cp:coreProperties>
</file>